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87C" w:rsidRPr="0007187C" w:rsidRDefault="0007187C" w:rsidP="0007187C">
      <w:pPr>
        <w:jc w:val="center"/>
        <w:rPr>
          <w:i/>
        </w:rPr>
      </w:pPr>
      <w:r w:rsidRPr="0007187C">
        <w:rPr>
          <w:i/>
        </w:rPr>
        <w:t>Journal of Organizational and End User Computing, 25(3), 2015</w:t>
      </w:r>
    </w:p>
    <w:p w:rsidR="00172B16" w:rsidRDefault="002947A3" w:rsidP="007B6D0A">
      <w:pPr>
        <w:pStyle w:val="Title"/>
      </w:pPr>
      <w:r>
        <w:t>Users and Uses Research</w:t>
      </w:r>
      <w:r w:rsidR="007B6D0A">
        <w:t>: Understanding “the Familiar Unknown”</w:t>
      </w:r>
    </w:p>
    <w:p w:rsidR="007B6D0A" w:rsidRDefault="00537F70" w:rsidP="00E61BC6">
      <w:pPr>
        <w:jc w:val="center"/>
      </w:pPr>
      <w:r>
        <w:t>Raymond R. Panko</w:t>
      </w:r>
      <w:r>
        <w:br/>
        <w:t>University of Hawai`i</w:t>
      </w:r>
    </w:p>
    <w:p w:rsidR="004B5CF1" w:rsidRDefault="004B5CF1" w:rsidP="00E61BC6">
      <w:pPr>
        <w:pStyle w:val="Heading1"/>
      </w:pPr>
      <w:r w:rsidRPr="00E61BC6">
        <w:t>Abstract</w:t>
      </w:r>
    </w:p>
    <w:p w:rsidR="004B5CF1" w:rsidRDefault="00AE3385" w:rsidP="004B5CF1">
      <w:r>
        <w:t>Many papers relevant to end user computing were presented at the 45</w:t>
      </w:r>
      <w:r w:rsidRPr="00AE3385">
        <w:rPr>
          <w:vertAlign w:val="superscript"/>
        </w:rPr>
        <w:t>th</w:t>
      </w:r>
      <w:r>
        <w:t xml:space="preserve"> Hawaii International Conference on System Sciences in 2012. This special issue presents five of them. These papers explore a range of topics and methodologies. This introduction to the special issue presents a research method/maturity stage matrix for classifying end user computing research. It discusses the five papers in terms of their content and in terms of their position on the matrix.</w:t>
      </w:r>
    </w:p>
    <w:p w:rsidR="004B5CF1" w:rsidRDefault="004B5CF1" w:rsidP="004B5CF1">
      <w:pPr>
        <w:pStyle w:val="Heading1"/>
      </w:pPr>
      <w:r>
        <w:t>Keywords</w:t>
      </w:r>
    </w:p>
    <w:p w:rsidR="004B5CF1" w:rsidRPr="004B5CF1" w:rsidRDefault="009D3C02" w:rsidP="004B5CF1">
      <w:r>
        <w:t xml:space="preserve">Users and uses, </w:t>
      </w:r>
      <w:r w:rsidR="00665C6C">
        <w:t xml:space="preserve">assimilation </w:t>
      </w:r>
      <w:r>
        <w:t>r</w:t>
      </w:r>
      <w:r w:rsidR="00D85C9C">
        <w:t>esearch, exploratory research, end user computing</w:t>
      </w:r>
    </w:p>
    <w:p w:rsidR="007B6D0A" w:rsidRDefault="007B6D0A" w:rsidP="007B6D0A">
      <w:pPr>
        <w:pStyle w:val="Heading1"/>
      </w:pPr>
      <w:r>
        <w:t>Introduction</w:t>
      </w:r>
    </w:p>
    <w:p w:rsidR="007B6D0A" w:rsidRDefault="0069191F" w:rsidP="007B6D0A">
      <w:r>
        <w:tab/>
      </w:r>
      <w:r w:rsidR="007B6D0A">
        <w:t xml:space="preserve">This paper is an introduction to the </w:t>
      </w:r>
      <w:r w:rsidR="00D85C9C" w:rsidRPr="009D3C02">
        <w:rPr>
          <w:i/>
        </w:rPr>
        <w:t>Journal of Organizational and End User Computing’s</w:t>
      </w:r>
      <w:r w:rsidR="00D85C9C">
        <w:t xml:space="preserve"> </w:t>
      </w:r>
      <w:r w:rsidR="007B6D0A">
        <w:t xml:space="preserve">special issue on end user computing research at HICSS 45—the 2012 Hawaii International Conference on System Sciences. HICSS is one of the oldest and largest information systems conferences. Quite a few of the 700 papers presented at the conference dealt with end user computing. </w:t>
      </w:r>
      <w:r w:rsidR="00D85C9C">
        <w:t>The</w:t>
      </w:r>
      <w:r w:rsidR="007B6D0A">
        <w:t xml:space="preserve"> special issue presents five of the</w:t>
      </w:r>
      <w:r w:rsidR="00D85C9C">
        <w:t>se</w:t>
      </w:r>
      <w:r w:rsidR="007B6D0A">
        <w:t xml:space="preserve"> papers. </w:t>
      </w:r>
      <w:r w:rsidR="00D85C9C">
        <w:t>They</w:t>
      </w:r>
      <w:r w:rsidR="007B6D0A">
        <w:t xml:space="preserve"> span a range of topics and research methods important to the understanding of end users.</w:t>
      </w:r>
    </w:p>
    <w:p w:rsidR="007B6D0A" w:rsidRDefault="0069191F" w:rsidP="007B6D0A">
      <w:r>
        <w:tab/>
      </w:r>
      <w:r w:rsidR="007B6D0A">
        <w:t xml:space="preserve">In marketing, students are warned that the customer is “the familiar unknown.” Companies deal with their customers every day and believe that they understand </w:t>
      </w:r>
      <w:r w:rsidR="00D85C9C">
        <w:t>them</w:t>
      </w:r>
      <w:r w:rsidR="007B6D0A">
        <w:t xml:space="preserve">. When they do marketing research, however, they are always </w:t>
      </w:r>
      <w:r w:rsidR="009D3C02">
        <w:t>surprised</w:t>
      </w:r>
      <w:r w:rsidR="007B6D0A">
        <w:t xml:space="preserve"> by what they find. The best companies </w:t>
      </w:r>
      <w:r w:rsidR="00D85C9C">
        <w:t xml:space="preserve">do extensive market and marketing research to </w:t>
      </w:r>
      <w:r w:rsidR="007B6D0A">
        <w:t>develop a detailed u</w:t>
      </w:r>
      <w:r w:rsidR="009D3C02">
        <w:t xml:space="preserve">nderstanding of their customers based on data instead of </w:t>
      </w:r>
      <w:r w:rsidR="00B45F79">
        <w:t xml:space="preserve">stereotypes, impressions, and </w:t>
      </w:r>
      <w:r w:rsidR="009D3C02">
        <w:t>assumptions</w:t>
      </w:r>
      <w:r w:rsidR="007B6D0A">
        <w:t>.</w:t>
      </w:r>
    </w:p>
    <w:p w:rsidR="00426B31" w:rsidRDefault="0069191F" w:rsidP="00426B31">
      <w:r>
        <w:tab/>
      </w:r>
      <w:r w:rsidR="00426B31">
        <w:t>In contrast,</w:t>
      </w:r>
      <w:r w:rsidR="008801BF">
        <w:t xml:space="preserve"> </w:t>
      </w:r>
      <w:r w:rsidR="0014549D">
        <w:t>most corporations</w:t>
      </w:r>
      <w:r w:rsidR="004B5CF1">
        <w:t xml:space="preserve"> and information systems researchers</w:t>
      </w:r>
      <w:r w:rsidR="008801BF">
        <w:t xml:space="preserve"> still use the vague term “end user” </w:t>
      </w:r>
      <w:r w:rsidR="00426B31">
        <w:t xml:space="preserve">to describe </w:t>
      </w:r>
      <w:r w:rsidR="00B45F79">
        <w:t xml:space="preserve">the </w:t>
      </w:r>
      <w:r w:rsidR="00426B31">
        <w:t xml:space="preserve">perhaps 90% of the people in organizations who use </w:t>
      </w:r>
      <w:r w:rsidR="00D85C9C">
        <w:t>IT</w:t>
      </w:r>
      <w:r w:rsidR="00426B31">
        <w:t xml:space="preserve">. These </w:t>
      </w:r>
      <w:r w:rsidR="00D85C9C">
        <w:t xml:space="preserve">include </w:t>
      </w:r>
      <w:r w:rsidR="00426B31">
        <w:t>line managers, staff managers, professionals, operating personnel</w:t>
      </w:r>
      <w:r w:rsidR="00D85C9C">
        <w:t>,</w:t>
      </w:r>
      <w:r w:rsidR="00426B31">
        <w:t xml:space="preserve"> and </w:t>
      </w:r>
      <w:r w:rsidR="00D85C9C">
        <w:t xml:space="preserve">many </w:t>
      </w:r>
      <w:r w:rsidR="00426B31">
        <w:t xml:space="preserve">other </w:t>
      </w:r>
      <w:r w:rsidR="00D85C9C">
        <w:t xml:space="preserve">types of workers. These employees </w:t>
      </w:r>
      <w:r w:rsidR="00426B31">
        <w:t>are vastly different from one another</w:t>
      </w:r>
      <w:r w:rsidR="0014549D">
        <w:t>, and even within occupational groups, they</w:t>
      </w:r>
      <w:r w:rsidR="00426B31">
        <w:t xml:space="preserve"> use information technology in profoundly different ways. </w:t>
      </w:r>
      <w:r w:rsidR="008801BF">
        <w:t xml:space="preserve">Giving a simplistic </w:t>
      </w:r>
      <w:r w:rsidR="00426B31">
        <w:t xml:space="preserve">name to this heterogeneous </w:t>
      </w:r>
      <w:r w:rsidR="0014549D">
        <w:t>world</w:t>
      </w:r>
      <w:r w:rsidR="00426B31">
        <w:t xml:space="preserve"> is a testament to our continuing ignorance about </w:t>
      </w:r>
      <w:r w:rsidR="00426B31">
        <w:lastRenderedPageBreak/>
        <w:t>IT users outside the IT department. It is not something to be proud of.</w:t>
      </w:r>
      <w:r w:rsidR="00D85C9C">
        <w:t xml:space="preserve"> We need to greatly expand the scope of users and uses research.</w:t>
      </w:r>
    </w:p>
    <w:p w:rsidR="00122D52" w:rsidRDefault="00122D52" w:rsidP="00122D52">
      <w:pPr>
        <w:pStyle w:val="Heading1"/>
      </w:pPr>
      <w:r>
        <w:t>The Methodology/Phase Research Matrix</w:t>
      </w:r>
    </w:p>
    <w:p w:rsidR="000B47F5" w:rsidRDefault="0069191F" w:rsidP="00426B31">
      <w:r>
        <w:tab/>
      </w:r>
      <w:r w:rsidR="000B47F5">
        <w:fldChar w:fldCharType="begin"/>
      </w:r>
      <w:r w:rsidR="000B47F5">
        <w:instrText xml:space="preserve"> REF _Ref339446689 \h </w:instrText>
      </w:r>
      <w:r w:rsidR="000B47F5">
        <w:fldChar w:fldCharType="separate"/>
      </w:r>
      <w:r w:rsidR="000B47F5">
        <w:t xml:space="preserve">Figure </w:t>
      </w:r>
      <w:r w:rsidR="000B47F5">
        <w:rPr>
          <w:noProof/>
        </w:rPr>
        <w:t>1</w:t>
      </w:r>
      <w:r w:rsidR="000B47F5">
        <w:fldChar w:fldCharType="end"/>
      </w:r>
      <w:r w:rsidR="000B47F5">
        <w:t xml:space="preserve"> illustrates a framework for classifying end user research. Darkened areas are exemplified in the papers in this special issue.</w:t>
      </w:r>
    </w:p>
    <w:p w:rsidR="008801BF" w:rsidRDefault="008801BF" w:rsidP="008801BF">
      <w:pPr>
        <w:pStyle w:val="Caption"/>
      </w:pPr>
      <w:bookmarkStart w:id="0" w:name="_Ref339446689"/>
      <w:r>
        <w:t xml:space="preserve">Figure </w:t>
      </w:r>
      <w:fldSimple w:instr=" SEQ Figure \* ARABIC ">
        <w:r w:rsidR="00B35FB9">
          <w:rPr>
            <w:noProof/>
          </w:rPr>
          <w:t>1</w:t>
        </w:r>
      </w:fldSimple>
      <w:bookmarkEnd w:id="0"/>
      <w:r>
        <w:t xml:space="preserve">: </w:t>
      </w:r>
      <w:r w:rsidR="000B47F5">
        <w:t>Research Methods and Phase Matrix</w:t>
      </w:r>
    </w:p>
    <w:tbl>
      <w:tblPr>
        <w:tblW w:w="8655" w:type="dxa"/>
        <w:tblInd w:w="93" w:type="dxa"/>
        <w:tblLook w:val="04A0" w:firstRow="1" w:lastRow="0" w:firstColumn="1" w:lastColumn="0" w:noHBand="0" w:noVBand="1"/>
      </w:tblPr>
      <w:tblGrid>
        <w:gridCol w:w="2820"/>
        <w:gridCol w:w="1380"/>
        <w:gridCol w:w="1380"/>
        <w:gridCol w:w="1380"/>
        <w:gridCol w:w="1695"/>
      </w:tblGrid>
      <w:tr w:rsidR="000B47F5" w:rsidRPr="000B47F5" w:rsidTr="00B45F79">
        <w:trPr>
          <w:trHeight w:val="600"/>
        </w:trPr>
        <w:tc>
          <w:tcPr>
            <w:tcW w:w="2820"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0B47F5" w:rsidRPr="00E12EB2" w:rsidRDefault="000B47F5" w:rsidP="0069191F">
            <w:pPr>
              <w:rPr>
                <w:rFonts w:ascii="Arial" w:eastAsia="Times New Roman" w:hAnsi="Arial" w:cs="Arial"/>
                <w:b/>
                <w:bCs/>
                <w:color w:val="FFFFFF"/>
                <w:sz w:val="16"/>
                <w:szCs w:val="16"/>
              </w:rPr>
            </w:pPr>
            <w:r w:rsidRPr="00E12EB2">
              <w:rPr>
                <w:rFonts w:ascii="Arial" w:eastAsia="Times New Roman" w:hAnsi="Arial" w:cs="Arial"/>
                <w:b/>
                <w:bCs/>
                <w:color w:val="FFFFFF"/>
                <w:sz w:val="16"/>
                <w:szCs w:val="16"/>
              </w:rPr>
              <w:t>Research Category</w:t>
            </w:r>
          </w:p>
        </w:tc>
        <w:tc>
          <w:tcPr>
            <w:tcW w:w="1380" w:type="dxa"/>
            <w:tcBorders>
              <w:top w:val="single" w:sz="4" w:space="0" w:color="auto"/>
              <w:left w:val="nil"/>
              <w:bottom w:val="single" w:sz="4" w:space="0" w:color="auto"/>
              <w:right w:val="single" w:sz="4" w:space="0" w:color="auto"/>
            </w:tcBorders>
            <w:shd w:val="clear" w:color="000000" w:fill="4F81BD"/>
            <w:vAlign w:val="bottom"/>
            <w:hideMark/>
          </w:tcPr>
          <w:p w:rsidR="000B47F5" w:rsidRPr="00E12EB2" w:rsidRDefault="000B47F5" w:rsidP="0069191F">
            <w:pPr>
              <w:jc w:val="center"/>
              <w:rPr>
                <w:rFonts w:ascii="Arial" w:eastAsia="Times New Roman" w:hAnsi="Arial" w:cs="Arial"/>
                <w:b/>
                <w:bCs/>
                <w:color w:val="FFFFFF"/>
                <w:sz w:val="16"/>
                <w:szCs w:val="16"/>
              </w:rPr>
            </w:pPr>
            <w:r w:rsidRPr="00E12EB2">
              <w:rPr>
                <w:rFonts w:ascii="Arial" w:eastAsia="Times New Roman" w:hAnsi="Arial" w:cs="Arial"/>
                <w:b/>
                <w:bCs/>
                <w:color w:val="FFFFFF"/>
                <w:sz w:val="16"/>
                <w:szCs w:val="16"/>
              </w:rPr>
              <w:t>Exploratory</w:t>
            </w:r>
          </w:p>
        </w:tc>
        <w:tc>
          <w:tcPr>
            <w:tcW w:w="1380" w:type="dxa"/>
            <w:tcBorders>
              <w:top w:val="single" w:sz="4" w:space="0" w:color="auto"/>
              <w:left w:val="nil"/>
              <w:bottom w:val="single" w:sz="4" w:space="0" w:color="auto"/>
              <w:right w:val="single" w:sz="4" w:space="0" w:color="auto"/>
            </w:tcBorders>
            <w:shd w:val="clear" w:color="000000" w:fill="4F81BD"/>
            <w:vAlign w:val="bottom"/>
            <w:hideMark/>
          </w:tcPr>
          <w:p w:rsidR="000B47F5" w:rsidRPr="00E12EB2" w:rsidRDefault="000B47F5" w:rsidP="0069191F">
            <w:pPr>
              <w:jc w:val="center"/>
              <w:rPr>
                <w:rFonts w:ascii="Arial" w:eastAsia="Times New Roman" w:hAnsi="Arial" w:cs="Arial"/>
                <w:b/>
                <w:bCs/>
                <w:color w:val="FFFFFF"/>
                <w:sz w:val="16"/>
                <w:szCs w:val="16"/>
              </w:rPr>
            </w:pPr>
            <w:r w:rsidRPr="00E12EB2">
              <w:rPr>
                <w:rFonts w:ascii="Arial" w:eastAsia="Times New Roman" w:hAnsi="Arial" w:cs="Arial"/>
                <w:b/>
                <w:bCs/>
                <w:color w:val="FFFFFF"/>
                <w:sz w:val="16"/>
                <w:szCs w:val="16"/>
              </w:rPr>
              <w:t>Theory Building</w:t>
            </w:r>
          </w:p>
        </w:tc>
        <w:tc>
          <w:tcPr>
            <w:tcW w:w="1380" w:type="dxa"/>
            <w:tcBorders>
              <w:top w:val="single" w:sz="4" w:space="0" w:color="auto"/>
              <w:left w:val="nil"/>
              <w:bottom w:val="single" w:sz="4" w:space="0" w:color="auto"/>
              <w:right w:val="single" w:sz="4" w:space="0" w:color="auto"/>
            </w:tcBorders>
            <w:shd w:val="clear" w:color="000000" w:fill="4F81BD"/>
            <w:vAlign w:val="bottom"/>
            <w:hideMark/>
          </w:tcPr>
          <w:p w:rsidR="000B47F5" w:rsidRPr="00E12EB2" w:rsidRDefault="000B47F5" w:rsidP="0069191F">
            <w:pPr>
              <w:jc w:val="center"/>
              <w:rPr>
                <w:rFonts w:ascii="Arial" w:eastAsia="Times New Roman" w:hAnsi="Arial" w:cs="Arial"/>
                <w:b/>
                <w:bCs/>
                <w:color w:val="FFFFFF"/>
                <w:sz w:val="16"/>
                <w:szCs w:val="16"/>
              </w:rPr>
            </w:pPr>
            <w:r w:rsidRPr="00E12EB2">
              <w:rPr>
                <w:rFonts w:ascii="Arial" w:eastAsia="Times New Roman" w:hAnsi="Arial" w:cs="Arial"/>
                <w:b/>
                <w:bCs/>
                <w:color w:val="FFFFFF"/>
                <w:sz w:val="16"/>
                <w:szCs w:val="16"/>
              </w:rPr>
              <w:t>Theory Testing</w:t>
            </w:r>
          </w:p>
        </w:tc>
        <w:tc>
          <w:tcPr>
            <w:tcW w:w="1695" w:type="dxa"/>
            <w:tcBorders>
              <w:top w:val="single" w:sz="4" w:space="0" w:color="auto"/>
              <w:left w:val="nil"/>
              <w:bottom w:val="single" w:sz="4" w:space="0" w:color="auto"/>
              <w:right w:val="single" w:sz="4" w:space="0" w:color="auto"/>
            </w:tcBorders>
            <w:shd w:val="clear" w:color="000000" w:fill="4F81BD"/>
            <w:vAlign w:val="bottom"/>
            <w:hideMark/>
          </w:tcPr>
          <w:p w:rsidR="000B47F5" w:rsidRPr="00E12EB2" w:rsidRDefault="00665C6C" w:rsidP="00665C6C">
            <w:pPr>
              <w:jc w:val="center"/>
              <w:rPr>
                <w:rFonts w:ascii="Arial" w:eastAsia="Times New Roman" w:hAnsi="Arial" w:cs="Arial"/>
                <w:b/>
                <w:bCs/>
                <w:color w:val="FFFFFF"/>
                <w:sz w:val="16"/>
                <w:szCs w:val="16"/>
              </w:rPr>
            </w:pPr>
            <w:r>
              <w:rPr>
                <w:rFonts w:ascii="Arial" w:eastAsia="Times New Roman" w:hAnsi="Arial" w:cs="Arial"/>
                <w:b/>
                <w:bCs/>
                <w:color w:val="FFFFFF"/>
                <w:sz w:val="16"/>
                <w:szCs w:val="16"/>
              </w:rPr>
              <w:t>Assimilation</w:t>
            </w:r>
            <w:r w:rsidR="002947A3">
              <w:rPr>
                <w:rFonts w:ascii="Arial" w:eastAsia="Times New Roman" w:hAnsi="Arial" w:cs="Arial"/>
                <w:b/>
                <w:bCs/>
                <w:color w:val="FFFFFF"/>
                <w:sz w:val="16"/>
                <w:szCs w:val="16"/>
              </w:rPr>
              <w:t xml:space="preserve"> </w:t>
            </w:r>
            <w:r>
              <w:rPr>
                <w:rFonts w:ascii="Arial" w:eastAsia="Times New Roman" w:hAnsi="Arial" w:cs="Arial"/>
                <w:b/>
                <w:bCs/>
                <w:color w:val="FFFFFF"/>
                <w:sz w:val="16"/>
                <w:szCs w:val="16"/>
              </w:rPr>
              <w:t>Research</w:t>
            </w:r>
          </w:p>
        </w:tc>
      </w:tr>
      <w:tr w:rsidR="000B47F5" w:rsidRPr="000B47F5" w:rsidTr="00B45F7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Data Mining</w:t>
            </w:r>
          </w:p>
        </w:tc>
        <w:tc>
          <w:tcPr>
            <w:tcW w:w="1380" w:type="dxa"/>
            <w:tcBorders>
              <w:top w:val="nil"/>
              <w:left w:val="nil"/>
              <w:bottom w:val="single" w:sz="4" w:space="0" w:color="auto"/>
              <w:right w:val="single" w:sz="4" w:space="0" w:color="auto"/>
            </w:tcBorders>
            <w:shd w:val="clear" w:color="auto" w:fill="auto"/>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695" w:type="dxa"/>
            <w:tcBorders>
              <w:top w:val="nil"/>
              <w:left w:val="nil"/>
              <w:bottom w:val="single" w:sz="4" w:space="0" w:color="auto"/>
              <w:right w:val="single" w:sz="4" w:space="0" w:color="auto"/>
            </w:tcBorders>
            <w:shd w:val="clear" w:color="auto" w:fill="auto"/>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0B47F5" w:rsidRPr="000B47F5" w:rsidTr="00B45F7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Observation</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695"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0B47F5" w:rsidRPr="000B47F5" w:rsidTr="00B45F7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Interview</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695"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0B47F5" w:rsidRPr="000B47F5" w:rsidTr="00B45F7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Focus Group</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695"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0B47F5" w:rsidRPr="000B47F5" w:rsidTr="00B45F7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Case Study</w:t>
            </w:r>
          </w:p>
        </w:tc>
        <w:tc>
          <w:tcPr>
            <w:tcW w:w="1380" w:type="dxa"/>
            <w:tcBorders>
              <w:top w:val="nil"/>
              <w:left w:val="nil"/>
              <w:bottom w:val="single" w:sz="4" w:space="0" w:color="auto"/>
              <w:right w:val="single" w:sz="4" w:space="0" w:color="auto"/>
            </w:tcBorders>
            <w:shd w:val="clear" w:color="000000" w:fill="538DD5"/>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695" w:type="dxa"/>
            <w:tcBorders>
              <w:top w:val="nil"/>
              <w:left w:val="nil"/>
              <w:bottom w:val="single" w:sz="4" w:space="0" w:color="auto"/>
              <w:right w:val="single" w:sz="4" w:space="0" w:color="auto"/>
            </w:tcBorders>
            <w:shd w:val="clear" w:color="000000" w:fill="C5D9F1"/>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0B47F5" w:rsidRPr="000B47F5" w:rsidTr="00B45F7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Quasi Experiment</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695"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0B47F5" w:rsidRPr="000B47F5" w:rsidTr="00B45F7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Experiment</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000000" w:fill="538DD5"/>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000000" w:fill="538DD5"/>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695" w:type="dxa"/>
            <w:tcBorders>
              <w:top w:val="nil"/>
              <w:left w:val="nil"/>
              <w:bottom w:val="single" w:sz="4" w:space="0" w:color="auto"/>
              <w:right w:val="single" w:sz="4" w:space="0" w:color="auto"/>
            </w:tcBorders>
            <w:shd w:val="clear" w:color="000000" w:fill="C5D9F1"/>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0B47F5" w:rsidRPr="000B47F5" w:rsidTr="00B45F7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0B47F5" w:rsidRPr="00E12EB2" w:rsidRDefault="00B83954" w:rsidP="0069191F">
            <w:pPr>
              <w:rPr>
                <w:rFonts w:ascii="Arial" w:eastAsia="Times New Roman" w:hAnsi="Arial" w:cs="Arial"/>
                <w:color w:val="000000"/>
                <w:sz w:val="16"/>
                <w:szCs w:val="16"/>
              </w:rPr>
            </w:pPr>
            <w:r>
              <w:rPr>
                <w:rFonts w:ascii="Arial" w:eastAsia="Times New Roman" w:hAnsi="Arial" w:cs="Arial"/>
                <w:color w:val="000000"/>
                <w:sz w:val="16"/>
                <w:szCs w:val="16"/>
              </w:rPr>
              <w:t>Ques</w:t>
            </w:r>
            <w:r w:rsidR="00432E68">
              <w:rPr>
                <w:rFonts w:ascii="Arial" w:eastAsia="Times New Roman" w:hAnsi="Arial" w:cs="Arial"/>
                <w:color w:val="000000"/>
                <w:sz w:val="16"/>
                <w:szCs w:val="16"/>
              </w:rPr>
              <w:t>tionnaire</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000000" w:fill="538DD5"/>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695"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0B47F5" w:rsidRPr="000B47F5" w:rsidTr="00B45F7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0B47F5" w:rsidRPr="00E12EB2" w:rsidRDefault="000B47F5" w:rsidP="00B83954">
            <w:pPr>
              <w:rPr>
                <w:rFonts w:ascii="Arial" w:eastAsia="Times New Roman" w:hAnsi="Arial" w:cs="Arial"/>
                <w:color w:val="000000"/>
                <w:sz w:val="16"/>
                <w:szCs w:val="16"/>
              </w:rPr>
            </w:pPr>
            <w:r w:rsidRPr="00E12EB2">
              <w:rPr>
                <w:rFonts w:ascii="Arial" w:eastAsia="Times New Roman" w:hAnsi="Arial" w:cs="Arial"/>
                <w:color w:val="000000"/>
                <w:sz w:val="16"/>
                <w:szCs w:val="16"/>
              </w:rPr>
              <w:t xml:space="preserve">Cognitive </w:t>
            </w:r>
            <w:r w:rsidR="00B83954">
              <w:rPr>
                <w:rFonts w:ascii="Arial" w:eastAsia="Times New Roman" w:hAnsi="Arial" w:cs="Arial"/>
                <w:color w:val="000000"/>
                <w:sz w:val="16"/>
                <w:szCs w:val="16"/>
              </w:rPr>
              <w:t>Science</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DBE5F1" w:themeFill="accent1" w:themeFillTint="33"/>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DBE5F1" w:themeFill="accent1" w:themeFillTint="33"/>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695" w:type="dxa"/>
            <w:tcBorders>
              <w:top w:val="nil"/>
              <w:left w:val="nil"/>
              <w:bottom w:val="single" w:sz="4" w:space="0" w:color="auto"/>
              <w:right w:val="single" w:sz="4" w:space="0" w:color="auto"/>
            </w:tcBorders>
            <w:shd w:val="clear" w:color="auto" w:fill="DBE5F1" w:themeFill="accent1" w:themeFillTint="33"/>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0B47F5" w:rsidRPr="000B47F5" w:rsidTr="00B45F79">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0B47F5" w:rsidRPr="00E12EB2" w:rsidRDefault="00432E68" w:rsidP="0069191F">
            <w:pPr>
              <w:rPr>
                <w:rFonts w:ascii="Arial" w:eastAsia="Times New Roman" w:hAnsi="Arial" w:cs="Arial"/>
                <w:color w:val="000000"/>
                <w:sz w:val="16"/>
                <w:szCs w:val="16"/>
              </w:rPr>
            </w:pPr>
            <w:r>
              <w:rPr>
                <w:rFonts w:ascii="Arial" w:eastAsia="Times New Roman" w:hAnsi="Arial" w:cs="Arial"/>
                <w:color w:val="000000"/>
                <w:sz w:val="16"/>
                <w:szCs w:val="16"/>
              </w:rPr>
              <w:t>Survey Research</w:t>
            </w:r>
          </w:p>
        </w:tc>
        <w:tc>
          <w:tcPr>
            <w:tcW w:w="1380" w:type="dxa"/>
            <w:tcBorders>
              <w:top w:val="nil"/>
              <w:left w:val="nil"/>
              <w:bottom w:val="single" w:sz="4" w:space="0" w:color="auto"/>
              <w:right w:val="single" w:sz="4" w:space="0" w:color="auto"/>
            </w:tcBorders>
            <w:shd w:val="clear" w:color="000000" w:fill="C5D9F1"/>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695" w:type="dxa"/>
            <w:tcBorders>
              <w:top w:val="nil"/>
              <w:left w:val="nil"/>
              <w:bottom w:val="single" w:sz="4" w:space="0" w:color="auto"/>
              <w:right w:val="single" w:sz="4" w:space="0" w:color="auto"/>
            </w:tcBorders>
            <w:shd w:val="clear" w:color="000000" w:fill="538DD5"/>
            <w:noWrap/>
            <w:vAlign w:val="bottom"/>
            <w:hideMark/>
          </w:tcPr>
          <w:p w:rsidR="000B47F5" w:rsidRPr="00E12EB2" w:rsidRDefault="000B47F5" w:rsidP="0069191F">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bl>
    <w:p w:rsidR="00122D52" w:rsidRDefault="00E61BC6" w:rsidP="00122D52">
      <w:pPr>
        <w:pStyle w:val="Heading2"/>
      </w:pPr>
      <w:r>
        <w:t>Maturity-of-k</w:t>
      </w:r>
      <w:r w:rsidR="00122D52">
        <w:t xml:space="preserve">nowledge </w:t>
      </w:r>
      <w:r>
        <w:t>d</w:t>
      </w:r>
      <w:r w:rsidR="00122D52">
        <w:t>imension</w:t>
      </w:r>
    </w:p>
    <w:p w:rsidR="000B47F5" w:rsidRDefault="0069191F" w:rsidP="000B47F5">
      <w:r>
        <w:tab/>
      </w:r>
      <w:r w:rsidR="000B47F5">
        <w:t xml:space="preserve">The figure has two dimensions. The </w:t>
      </w:r>
      <w:r w:rsidR="00D85C9C">
        <w:t>horizontal dimension is maturity-of-</w:t>
      </w:r>
      <w:r w:rsidR="000B47F5">
        <w:t xml:space="preserve">knowledge stage. This dimension asks how </w:t>
      </w:r>
      <w:r w:rsidR="0014549D">
        <w:t xml:space="preserve">mature our understanding of a research </w:t>
      </w:r>
      <w:r w:rsidR="00B45F79">
        <w:t>issue</w:t>
      </w:r>
      <w:r w:rsidR="0014549D">
        <w:t xml:space="preserve"> is</w:t>
      </w:r>
      <w:r w:rsidR="000B47F5">
        <w:t>. Note that theory</w:t>
      </w:r>
      <w:r w:rsidR="00D85C9C">
        <w:t xml:space="preserve"> testing</w:t>
      </w:r>
      <w:r w:rsidR="000B47F5">
        <w:t xml:space="preserve"> is </w:t>
      </w:r>
      <w:r w:rsidR="000B47F5" w:rsidRPr="000B47F5">
        <w:rPr>
          <w:i/>
        </w:rPr>
        <w:t>not</w:t>
      </w:r>
      <w:r w:rsidR="000B47F5">
        <w:t xml:space="preserve"> the final stage in </w:t>
      </w:r>
      <w:r w:rsidR="00D85C9C">
        <w:t>this dimension</w:t>
      </w:r>
      <w:r w:rsidR="000B47F5">
        <w:t>.</w:t>
      </w:r>
    </w:p>
    <w:p w:rsidR="000B47F5" w:rsidRDefault="000B47F5" w:rsidP="000B47F5">
      <w:pPr>
        <w:pStyle w:val="ListParagraph"/>
      </w:pPr>
      <w:r w:rsidRPr="0014549D">
        <w:rPr>
          <w:b/>
        </w:rPr>
        <w:t>Exploratory stage</w:t>
      </w:r>
      <w:r>
        <w:t xml:space="preserve"> </w:t>
      </w:r>
      <w:r w:rsidR="00D85C9C">
        <w:t xml:space="preserve">research </w:t>
      </w:r>
      <w:r>
        <w:t xml:space="preserve">is useful when we do not understand the basic </w:t>
      </w:r>
      <w:r w:rsidR="00D85C9C">
        <w:t>research issue</w:t>
      </w:r>
      <w:r>
        <w:t xml:space="preserve"> well. For example, in spreadsheet research, early exploratory research focused on the types of errors that developers made and how frequently they made errors of each type. Exploratory research is a foundation for later research. Doing </w:t>
      </w:r>
      <w:r w:rsidR="0014549D">
        <w:t xml:space="preserve">later-stage </w:t>
      </w:r>
      <w:r>
        <w:t xml:space="preserve">research is like being separated from the world by a wall, and research projects drill small holes in the wall to permit </w:t>
      </w:r>
      <w:r w:rsidR="00D85C9C">
        <w:t>researcher</w:t>
      </w:r>
      <w:r>
        <w:t xml:space="preserve"> to </w:t>
      </w:r>
      <w:r w:rsidR="00D85C9C">
        <w:t>peek</w:t>
      </w:r>
      <w:r>
        <w:t xml:space="preserve"> through. If the researcher does not have good a priori knowledge about what is on the other side of the wall, he or she may drill holes in uninteresting areas or, worse yet, believe that what he or she sees through a hole in the wall is representative</w:t>
      </w:r>
      <w:r w:rsidR="00D85C9C">
        <w:t xml:space="preserve"> of the whole</w:t>
      </w:r>
      <w:r>
        <w:t xml:space="preserve">. In many fields, exploratory research is only done at </w:t>
      </w:r>
      <w:r>
        <w:lastRenderedPageBreak/>
        <w:t xml:space="preserve">the beginning of research in an area. However, in areas like end user computing, in which the situation is changing </w:t>
      </w:r>
      <w:r w:rsidR="0014549D">
        <w:t>constantly</w:t>
      </w:r>
      <w:r>
        <w:t xml:space="preserve"> and radically, exploratory research needs to be done continuously.</w:t>
      </w:r>
      <w:r w:rsidR="00B45F79">
        <w:t xml:space="preserve"> In this special issue, Panko and Port (2013) discusses the importance of “primary descriptive research.”</w:t>
      </w:r>
    </w:p>
    <w:p w:rsidR="00D85C9C" w:rsidRDefault="00122D52" w:rsidP="000B47F5">
      <w:pPr>
        <w:pStyle w:val="ListParagraph"/>
      </w:pPr>
      <w:r w:rsidRPr="0014549D">
        <w:rPr>
          <w:b/>
        </w:rPr>
        <w:t>Theory develop</w:t>
      </w:r>
      <w:r w:rsidR="00D85C9C" w:rsidRPr="0014549D">
        <w:rPr>
          <w:b/>
        </w:rPr>
        <w:t>ment</w:t>
      </w:r>
      <w:r w:rsidRPr="0014549D">
        <w:rPr>
          <w:b/>
        </w:rPr>
        <w:t xml:space="preserve"> and testing</w:t>
      </w:r>
      <w:r>
        <w:t xml:space="preserve"> are </w:t>
      </w:r>
      <w:r w:rsidR="00B45F79">
        <w:t>discussed</w:t>
      </w:r>
      <w:r w:rsidR="00D85C9C">
        <w:t xml:space="preserve"> widely in the research literature. Although they are very important, </w:t>
      </w:r>
      <w:r w:rsidR="00B45F79">
        <w:t xml:space="preserve">and although several papers in the special issue concern these stages, </w:t>
      </w:r>
      <w:r w:rsidR="00D85C9C">
        <w:t>there is no ne</w:t>
      </w:r>
      <w:r w:rsidR="00B45F79">
        <w:t>ed to cover them in this introduction.</w:t>
      </w:r>
    </w:p>
    <w:p w:rsidR="00122D52" w:rsidRDefault="00665C6C" w:rsidP="000B47F5">
      <w:pPr>
        <w:pStyle w:val="ListParagraph"/>
      </w:pPr>
      <w:r>
        <w:rPr>
          <w:b/>
        </w:rPr>
        <w:t>A</w:t>
      </w:r>
      <w:r w:rsidRPr="00B45F79">
        <w:rPr>
          <w:b/>
        </w:rPr>
        <w:t>ssimilation</w:t>
      </w:r>
      <w:r>
        <w:t xml:space="preserve"> </w:t>
      </w:r>
      <w:r>
        <w:rPr>
          <w:b/>
        </w:rPr>
        <w:t xml:space="preserve">research </w:t>
      </w:r>
      <w:r w:rsidR="0014549D">
        <w:t>is t</w:t>
      </w:r>
      <w:r w:rsidR="00122D52">
        <w:t xml:space="preserve">he final and highest </w:t>
      </w:r>
      <w:r w:rsidR="0014549D">
        <w:t xml:space="preserve">maturity </w:t>
      </w:r>
      <w:r w:rsidR="00122D52">
        <w:t>stage</w:t>
      </w:r>
      <w:r w:rsidR="0014549D">
        <w:t>. It embraces the many types of research that helps organization</w:t>
      </w:r>
      <w:r w:rsidR="00122D52">
        <w:t xml:space="preserve"> understand how to assimilate research findings. It is said that there is nothing as relevant as a good theory. However, there is probably nothing as irrelevant as a theory that is not </w:t>
      </w:r>
      <w:r w:rsidR="0014549D">
        <w:t>used</w:t>
      </w:r>
      <w:r w:rsidR="00122D52">
        <w:t>. Theory</w:t>
      </w:r>
      <w:r w:rsidR="0014549D">
        <w:t xml:space="preserve"> testing </w:t>
      </w:r>
      <w:r w:rsidR="00122D52">
        <w:t>is typically depicted as the highest form or research. “Technology transfer</w:t>
      </w:r>
      <w:r w:rsidR="0014549D">
        <w:t>,</w:t>
      </w:r>
      <w:r w:rsidR="00122D52">
        <w:t>”</w:t>
      </w:r>
      <w:r w:rsidR="0014549D">
        <w:t xml:space="preserve"> in contrast, </w:t>
      </w:r>
      <w:r w:rsidR="00122D52">
        <w:t>is typically viewed as being something like low manual labor. In applied fields such as information systems in general and end user computing in specific, this is disrespectful to our corporate reference field.</w:t>
      </w:r>
      <w:r w:rsidR="00D85C9C">
        <w:t xml:space="preserve"> </w:t>
      </w:r>
      <w:r w:rsidR="001D4E37">
        <w:t>Organizations do not merely adopt research findings; they assimilate them by adapting them to organizational processes in a complex way. In addition, in medicine there is a need to prove medications to be reasonably safe and effective before releasing them. Many prescriptions based on theory that is tested and published in top journals may turn out to be ineffective or even unsafe in the real world.</w:t>
      </w:r>
      <w:r w:rsidR="0014549D">
        <w:t xml:space="preserve"> The Panko and Port (2013) paper in this issue marshal evidence that companies need to determine whether</w:t>
      </w:r>
      <w:r w:rsidR="00BA6724">
        <w:t xml:space="preserve"> they should manage end user co</w:t>
      </w:r>
      <w:r w:rsidR="0014549D">
        <w:t xml:space="preserve">mputing more </w:t>
      </w:r>
      <w:r w:rsidR="00BA6724">
        <w:t>proactively</w:t>
      </w:r>
      <w:r w:rsidR="0014549D">
        <w:t>.</w:t>
      </w:r>
    </w:p>
    <w:p w:rsidR="00122D52" w:rsidRDefault="00E61BC6" w:rsidP="00122D52">
      <w:pPr>
        <w:pStyle w:val="Heading2"/>
      </w:pPr>
      <w:r>
        <w:t>Research methodologies d</w:t>
      </w:r>
      <w:r w:rsidR="00122D52">
        <w:t>imension</w:t>
      </w:r>
    </w:p>
    <w:p w:rsidR="00122D52" w:rsidRDefault="0069191F" w:rsidP="00122D52">
      <w:r>
        <w:tab/>
      </w:r>
      <w:r w:rsidR="00844C77">
        <w:t xml:space="preserve">The second dimension </w:t>
      </w:r>
      <w:r w:rsidR="001D4E37">
        <w:t xml:space="preserve">in </w:t>
      </w:r>
      <w:r w:rsidR="001D4E37">
        <w:fldChar w:fldCharType="begin"/>
      </w:r>
      <w:r w:rsidR="001D4E37">
        <w:instrText xml:space="preserve"> REF _Ref339446689 \h </w:instrText>
      </w:r>
      <w:r w:rsidR="001D4E37">
        <w:fldChar w:fldCharType="separate"/>
      </w:r>
      <w:r w:rsidR="001D4E37">
        <w:t xml:space="preserve">Figure </w:t>
      </w:r>
      <w:r w:rsidR="001D4E37">
        <w:rPr>
          <w:noProof/>
        </w:rPr>
        <w:t>1</w:t>
      </w:r>
      <w:r w:rsidR="001D4E37">
        <w:fldChar w:fldCharType="end"/>
      </w:r>
      <w:r w:rsidR="001D4E37">
        <w:t xml:space="preserve"> i</w:t>
      </w:r>
      <w:r w:rsidR="00844C77">
        <w:t xml:space="preserve">s research method. Roughly, as you read </w:t>
      </w:r>
      <w:r w:rsidR="001D4E37">
        <w:t>from top to bottom</w:t>
      </w:r>
      <w:r w:rsidR="00844C77">
        <w:t xml:space="preserve">, you </w:t>
      </w:r>
      <w:r w:rsidR="001D4E37">
        <w:t>encou</w:t>
      </w:r>
      <w:bookmarkStart w:id="1" w:name="_GoBack"/>
      <w:bookmarkEnd w:id="1"/>
      <w:r w:rsidR="001D4E37">
        <w:t>nter</w:t>
      </w:r>
      <w:r w:rsidR="00844C77">
        <w:t xml:space="preserve"> methods that take you farther from the richness of end users. Most of the research categories are familiar, but we will not</w:t>
      </w:r>
      <w:r w:rsidR="001D4E37">
        <w:t>e</w:t>
      </w:r>
      <w:r w:rsidR="00844C77">
        <w:t xml:space="preserve"> some points about a few.</w:t>
      </w:r>
    </w:p>
    <w:p w:rsidR="00844C77" w:rsidRDefault="00844C77" w:rsidP="00844C77">
      <w:pPr>
        <w:pStyle w:val="ListParagraph"/>
      </w:pPr>
      <w:r w:rsidRPr="00C04667">
        <w:rPr>
          <w:b/>
        </w:rPr>
        <w:t>Data mining</w:t>
      </w:r>
      <w:r>
        <w:t xml:space="preserve"> is the analysis of data about end users. This may </w:t>
      </w:r>
      <w:r w:rsidR="001D4E37">
        <w:t>involve</w:t>
      </w:r>
      <w:r>
        <w:t xml:space="preserve"> </w:t>
      </w:r>
      <w:r w:rsidR="00C04667">
        <w:t>statistics</w:t>
      </w:r>
      <w:r>
        <w:t xml:space="preserve"> on how often and how long people use specific mobile apps in a company. It may also </w:t>
      </w:r>
      <w:r w:rsidR="001D4E37">
        <w:t>involve</w:t>
      </w:r>
      <w:r>
        <w:t xml:space="preserve"> national data on employment, as discussed in Panko and Port (2013) in this issue. Analyzing government data is</w:t>
      </w:r>
      <w:r w:rsidR="001D4E37">
        <w:t xml:space="preserve"> likely to be straightforward. In contrast, e</w:t>
      </w:r>
      <w:r>
        <w:t xml:space="preserve">ven getting access to corporate data is challenging, but the volume of data is </w:t>
      </w:r>
      <w:r w:rsidR="001D4E37">
        <w:t xml:space="preserve">often </w:t>
      </w:r>
      <w:r>
        <w:t>massive</w:t>
      </w:r>
      <w:r w:rsidR="00C04667">
        <w:t>ly detailed</w:t>
      </w:r>
      <w:r>
        <w:t>.</w:t>
      </w:r>
    </w:p>
    <w:p w:rsidR="00844C77" w:rsidRDefault="001F5955" w:rsidP="00844C77">
      <w:pPr>
        <w:pStyle w:val="ListParagraph"/>
      </w:pPr>
      <w:r w:rsidRPr="00C04667">
        <w:rPr>
          <w:b/>
        </w:rPr>
        <w:t>Observation, interviews (in depth), and focus groups</w:t>
      </w:r>
      <w:r>
        <w:t xml:space="preserve"> follow</w:t>
      </w:r>
      <w:r w:rsidR="00844C77">
        <w:t xml:space="preserve"> data mining. In general, the first four categories are close to the richness of the end user experience. They are also infrequent in the literature.</w:t>
      </w:r>
      <w:r w:rsidR="001D4E37">
        <w:t xml:space="preserve"> They tend to be used at the exploratory stage, an</w:t>
      </w:r>
      <w:r w:rsidR="00C04667">
        <w:t>d they tend to have lower rigor—</w:t>
      </w:r>
      <w:r w:rsidR="001D4E37">
        <w:t xml:space="preserve">although </w:t>
      </w:r>
      <w:r w:rsidR="00C04667">
        <w:t xml:space="preserve">they </w:t>
      </w:r>
      <w:r w:rsidR="001D4E37">
        <w:t xml:space="preserve">may lead to more new insights than methods </w:t>
      </w:r>
      <w:r w:rsidR="001D4E37">
        <w:lastRenderedPageBreak/>
        <w:t>lower in the list.</w:t>
      </w:r>
      <w:r w:rsidR="00C04667">
        <w:t xml:space="preserve"> The relative absence of studies using methodologies near the top of the table may reflect a strong journal bias against such research.</w:t>
      </w:r>
    </w:p>
    <w:p w:rsidR="00844C77" w:rsidRDefault="00844C77" w:rsidP="00844C77">
      <w:pPr>
        <w:pStyle w:val="ListParagraph"/>
      </w:pPr>
      <w:r w:rsidRPr="00C04667">
        <w:rPr>
          <w:b/>
        </w:rPr>
        <w:t>Case studies</w:t>
      </w:r>
      <w:r>
        <w:t xml:space="preserve"> come in two forms. Tradit</w:t>
      </w:r>
      <w:r w:rsidR="00432E68">
        <w:t xml:space="preserve">ional </w:t>
      </w:r>
      <w:r w:rsidRPr="00432E68">
        <w:rPr>
          <w:i/>
        </w:rPr>
        <w:t>deep</w:t>
      </w:r>
      <w:r w:rsidR="00F10ADC" w:rsidRPr="00432E68">
        <w:rPr>
          <w:i/>
        </w:rPr>
        <w:t xml:space="preserve"> case studies</w:t>
      </w:r>
      <w:r>
        <w:t xml:space="preserve"> are </w:t>
      </w:r>
      <w:r w:rsidR="00432E68">
        <w:t>based on a</w:t>
      </w:r>
      <w:r w:rsidR="00F10ADC">
        <w:t xml:space="preserve"> detailed analysis of a situation</w:t>
      </w:r>
      <w:r>
        <w:t xml:space="preserve"> </w:t>
      </w:r>
      <w:r w:rsidR="00432E68">
        <w:t xml:space="preserve">conducted by the authors and relying </w:t>
      </w:r>
      <w:r w:rsidR="00F10ADC">
        <w:t>on</w:t>
      </w:r>
      <w:r>
        <w:t xml:space="preserve"> access to people and business records. In contrast, incident reports give specific information of interest </w:t>
      </w:r>
      <w:r w:rsidR="00F10ADC">
        <w:t>on</w:t>
      </w:r>
      <w:r>
        <w:t xml:space="preserve"> a particular topic </w:t>
      </w:r>
      <w:r w:rsidR="00F10ADC">
        <w:t>in</w:t>
      </w:r>
      <w:r>
        <w:t xml:space="preserve"> an actual situation. </w:t>
      </w:r>
      <w:r w:rsidR="002E0747">
        <w:t>Incident reports</w:t>
      </w:r>
      <w:r>
        <w:t xml:space="preserve"> are best when </w:t>
      </w:r>
      <w:r w:rsidR="002E0747">
        <w:t xml:space="preserve">draw from a </w:t>
      </w:r>
      <w:r w:rsidR="00F10ADC">
        <w:t xml:space="preserve">thorough </w:t>
      </w:r>
      <w:r w:rsidR="002E0747">
        <w:t xml:space="preserve">published analysis of a situation </w:t>
      </w:r>
      <w:r w:rsidR="00432E68">
        <w:t>conducted by a reputable source. They then</w:t>
      </w:r>
      <w:r w:rsidR="002E0747">
        <w:t xml:space="preserve"> focus on lessons learned for a particular research question. Thorne (2003) does this for the problem of spreadsheet fraud, which has been studied much less than spreadsheet error. </w:t>
      </w:r>
      <w:r w:rsidR="00F10ADC">
        <w:t xml:space="preserve">He </w:t>
      </w:r>
      <w:r w:rsidR="00432E68">
        <w:t>draws upon a</w:t>
      </w:r>
      <w:r w:rsidR="00F10ADC">
        <w:t xml:space="preserve"> detailed audit of the situation conducted for regulators. Thorne </w:t>
      </w:r>
      <w:r w:rsidR="002E0747">
        <w:t>also integrate</w:t>
      </w:r>
      <w:r w:rsidR="00432E68">
        <w:t>s</w:t>
      </w:r>
      <w:r w:rsidR="002E0747">
        <w:t xml:space="preserve"> other incident report of varying depth.</w:t>
      </w:r>
    </w:p>
    <w:p w:rsidR="002E0747" w:rsidRDefault="00432E68" w:rsidP="00844C77">
      <w:pPr>
        <w:pStyle w:val="ListParagraph"/>
      </w:pPr>
      <w:r w:rsidRPr="00432E68">
        <w:rPr>
          <w:b/>
        </w:rPr>
        <w:t>Questionnaires</w:t>
      </w:r>
      <w:r w:rsidR="002E0747">
        <w:t xml:space="preserve"> are often thought of as being “close to the user,” but </w:t>
      </w:r>
      <w:r>
        <w:t>questionnaires</w:t>
      </w:r>
      <w:r w:rsidR="002E0747">
        <w:t xml:space="preserve"> typically only cover a narrow set of topics, so they do not give a rich picture of the user. </w:t>
      </w:r>
      <w:r w:rsidR="00F10ADC">
        <w:t>T</w:t>
      </w:r>
      <w:r w:rsidR="002E0747">
        <w:t xml:space="preserve">hey compensate for this by showing what a large number of people think. Unfortunately, many </w:t>
      </w:r>
      <w:r>
        <w:t>questionnaires</w:t>
      </w:r>
      <w:r w:rsidR="002E0747">
        <w:t xml:space="preserve"> in the information systems field fail to observe good practices learned in other fields that use </w:t>
      </w:r>
      <w:r>
        <w:t>questionnaires</w:t>
      </w:r>
      <w:r w:rsidR="002E0747">
        <w:t xml:space="preserve"> extensively. In such cases, a </w:t>
      </w:r>
      <w:r>
        <w:t>questionnaire</w:t>
      </w:r>
      <w:r w:rsidR="002E0747">
        <w:t xml:space="preserve"> is a method but not a methodology.</w:t>
      </w:r>
    </w:p>
    <w:p w:rsidR="002E0747" w:rsidRDefault="002E0747" w:rsidP="00C345D3">
      <w:pPr>
        <w:pStyle w:val="ListParagraph"/>
      </w:pPr>
      <w:r w:rsidRPr="00432E68">
        <w:rPr>
          <w:b/>
        </w:rPr>
        <w:t>Cognitive science</w:t>
      </w:r>
      <w:r>
        <w:t xml:space="preserve"> is a relatively new field, but it is already helping </w:t>
      </w:r>
      <w:r w:rsidR="00F10ADC">
        <w:t xml:space="preserve">to </w:t>
      </w:r>
      <w:r>
        <w:t>shed light on how people think and use computers. One intriguing study found that when people were doing routine tasks, their brains occasionally switch</w:t>
      </w:r>
      <w:r w:rsidR="00432E68">
        <w:t>ed</w:t>
      </w:r>
      <w:r>
        <w:t xml:space="preserve"> to a “resting condition” without the </w:t>
      </w:r>
      <w:r w:rsidR="00432E68">
        <w:t>subject’s</w:t>
      </w:r>
      <w:r>
        <w:t xml:space="preserve"> knowledge. During the next 30 seconds, there </w:t>
      </w:r>
      <w:r w:rsidR="00432E68">
        <w:t>was</w:t>
      </w:r>
      <w:r>
        <w:t xml:space="preserve"> a substantially heightened </w:t>
      </w:r>
      <w:r w:rsidR="00F10ADC">
        <w:t>probability</w:t>
      </w:r>
      <w:r>
        <w:t xml:space="preserve"> of making an error</w:t>
      </w:r>
      <w:r w:rsidR="00F10ADC">
        <w:t xml:space="preserve"> </w:t>
      </w:r>
      <w:r w:rsidR="003C3DC4">
        <w:t>(</w:t>
      </w:r>
      <w:proofErr w:type="spellStart"/>
      <w:r w:rsidR="003C3DC4">
        <w:t>Eichele</w:t>
      </w:r>
      <w:proofErr w:type="spellEnd"/>
      <w:r w:rsidR="003C3DC4">
        <w:t>, et al., 2008)</w:t>
      </w:r>
      <w:r>
        <w:t xml:space="preserve">. Many human-computer interaction </w:t>
      </w:r>
      <w:r w:rsidR="00F10ADC">
        <w:t>research questions</w:t>
      </w:r>
      <w:r>
        <w:t xml:space="preserve"> might benefit from cognitive science. In general, cognitive science is most useful today for the two extremes of exploratory research and </w:t>
      </w:r>
      <w:r w:rsidR="00665C6C">
        <w:t xml:space="preserve">assimilation </w:t>
      </w:r>
      <w:r w:rsidR="00F10ADC">
        <w:t>research phases</w:t>
      </w:r>
      <w:r>
        <w:t xml:space="preserve">. In the latter case, cognitive science helps explain some reasons for people failing to use tools well in practice. </w:t>
      </w:r>
      <w:r w:rsidR="00C345D3">
        <w:t>The Jenkins, Durcikova, and Burns (2003) paper in th</w:t>
      </w:r>
      <w:r w:rsidR="00E61BC6">
        <w:t>is issue exemplifies the latter by showing that richer presentations are not necessarily more effective</w:t>
      </w:r>
      <w:r w:rsidR="00C345D3">
        <w:t>.</w:t>
      </w:r>
    </w:p>
    <w:p w:rsidR="00C345D3" w:rsidRPr="00122D52" w:rsidRDefault="00C345D3" w:rsidP="00C345D3">
      <w:pPr>
        <w:pStyle w:val="ListParagraph"/>
      </w:pPr>
      <w:r>
        <w:t>Finally</w:t>
      </w:r>
      <w:r w:rsidRPr="00432E68">
        <w:t>,</w:t>
      </w:r>
      <w:r w:rsidRPr="00432E68">
        <w:rPr>
          <w:b/>
        </w:rPr>
        <w:t xml:space="preserve"> survey research</w:t>
      </w:r>
      <w:r>
        <w:t xml:space="preserve"> </w:t>
      </w:r>
      <w:r w:rsidR="00432E68">
        <w:t>integrates</w:t>
      </w:r>
      <w:r>
        <w:t xml:space="preserve"> findings </w:t>
      </w:r>
      <w:r w:rsidR="00E61BC6">
        <w:t>from</w:t>
      </w:r>
      <w:r>
        <w:t xml:space="preserve"> </w:t>
      </w:r>
      <w:r w:rsidR="00E61BC6">
        <w:t>several</w:t>
      </w:r>
      <w:r>
        <w:t xml:space="preserve"> studies</w:t>
      </w:r>
      <w:r w:rsidR="00E61BC6">
        <w:t xml:space="preserve"> and often from multiple methodologies</w:t>
      </w:r>
      <w:r>
        <w:t xml:space="preserve">. The Panko and Port (2003) paper in this issue is an example of this. It focuses </w:t>
      </w:r>
      <w:r w:rsidR="00432E68">
        <w:t xml:space="preserve">on integrating findings, most commonly from </w:t>
      </w:r>
      <w:r>
        <w:t>exploratory studies. Its purpose is to provide a coherent justification for taking spreadsheets (and end user computing in general) seriously as an information systems research topic.</w:t>
      </w:r>
      <w:r w:rsidR="00E61BC6">
        <w:t xml:space="preserve"> This information should also be helpful in assimilation by alerting corporations to the need to begin managing spreadsheets more proactively.</w:t>
      </w:r>
    </w:p>
    <w:p w:rsidR="00E61BC6" w:rsidRDefault="00E61BC6" w:rsidP="00650475">
      <w:pPr>
        <w:pStyle w:val="Heading1"/>
      </w:pPr>
      <w:r>
        <w:lastRenderedPageBreak/>
        <w:t>Papers in the Special Issue</w:t>
      </w:r>
    </w:p>
    <w:p w:rsidR="00650475" w:rsidRDefault="00650475" w:rsidP="00E61BC6">
      <w:pPr>
        <w:pStyle w:val="Heading2"/>
      </w:pPr>
      <w:r>
        <w:t xml:space="preserve">End </w:t>
      </w:r>
      <w:r w:rsidR="00E61BC6">
        <w:t>u</w:t>
      </w:r>
      <w:r>
        <w:t xml:space="preserve">ser </w:t>
      </w:r>
      <w:r w:rsidR="00E61BC6">
        <w:t>c</w:t>
      </w:r>
      <w:r>
        <w:t xml:space="preserve">omputing: The </w:t>
      </w:r>
      <w:r w:rsidR="00E61BC6">
        <w:t>d</w:t>
      </w:r>
      <w:r>
        <w:t xml:space="preserve">ark </w:t>
      </w:r>
      <w:r w:rsidR="00E61BC6">
        <w:t>m</w:t>
      </w:r>
      <w:r>
        <w:t xml:space="preserve">atter (and </w:t>
      </w:r>
      <w:r w:rsidR="00E61BC6">
        <w:t>d</w:t>
      </w:r>
      <w:r>
        <w:t xml:space="preserve">ark </w:t>
      </w:r>
      <w:r w:rsidR="00E61BC6">
        <w:t>e</w:t>
      </w:r>
      <w:r>
        <w:t xml:space="preserve">nergy) of </w:t>
      </w:r>
      <w:r w:rsidR="00E61BC6">
        <w:t>c</w:t>
      </w:r>
      <w:r>
        <w:t>orporate IT</w:t>
      </w:r>
    </w:p>
    <w:p w:rsidR="00650475" w:rsidRDefault="00650475" w:rsidP="00650475">
      <w:r>
        <w:t>Raymond R. P</w:t>
      </w:r>
      <w:r w:rsidR="00E61BC6">
        <w:t>anko, University of Hawaii, USA</w:t>
      </w:r>
      <w:r w:rsidR="00E61BC6">
        <w:br/>
      </w:r>
      <w:r>
        <w:t>Daniel N. Port, University of Hawaii, USA</w:t>
      </w:r>
    </w:p>
    <w:p w:rsidR="00E61BC6" w:rsidRDefault="00E61BC6" w:rsidP="00650475"/>
    <w:p w:rsidR="00650475" w:rsidRDefault="00FC1DB9" w:rsidP="00650475">
      <w:r>
        <w:tab/>
        <w:t>This paper attempts to d</w:t>
      </w:r>
      <w:r w:rsidR="00432E68">
        <w:t>emonstrate that end user computing is far too important</w:t>
      </w:r>
      <w:r>
        <w:t xml:space="preserve"> to continue to be ignored by corporations, IT professionals, and IS researchers. The paper brings togethe4r many pieces of evidence that demonstrate end user computing’s ubiquity, importance, and risks. End user computing is not simply a set of personal productivity tools for individuals. It has expanded since its early years to play a critical role in many corporate processes, including operational systems like financial reporting, that are governed by compliance laws.</w:t>
      </w:r>
    </w:p>
    <w:p w:rsidR="00FC1DB9" w:rsidRDefault="00FC1DB9" w:rsidP="00650475">
      <w:r>
        <w:tab/>
        <w:t xml:space="preserve">The paper uses the metaphor that EUC is like the dark matter and dark energy of physics. It is like dark matter in that it is enormously larger than traditional IT yet it widely ignored. It is also “dark” in the sense that it creates risks </w:t>
      </w:r>
      <w:r w:rsidR="00432E68">
        <w:t>to which</w:t>
      </w:r>
      <w:r>
        <w:t xml:space="preserve"> fe</w:t>
      </w:r>
      <w:r w:rsidR="00432E68">
        <w:t>w organizations are attending</w:t>
      </w:r>
      <w:r>
        <w:t>. However, it is also the dark energy of corporate IT, bringing performance gains to a nearly every corner of the corporation.</w:t>
      </w:r>
    </w:p>
    <w:p w:rsidR="00FC1DB9" w:rsidRDefault="00FC1DB9" w:rsidP="00650475">
      <w:r>
        <w:tab/>
        <w:t>The paper ends by arguing that we need to do far more research on end user computing. In particular, our understanding of users and their uses of IT is so superficial that we need to begin doing a great deal of primary descriptive research to understand the diversity of users and uses and to gain insights into how they use IT to drive corporate performance. This will require in-depth analysis of government data and corporate data, as well as wide-focus interviews with large numbers of corporate IT users.</w:t>
      </w:r>
    </w:p>
    <w:p w:rsidR="00C345D3" w:rsidRDefault="00C345D3" w:rsidP="00C345D3">
      <w:pPr>
        <w:pStyle w:val="Caption"/>
      </w:pPr>
      <w:r>
        <w:t xml:space="preserve">Figure </w:t>
      </w:r>
      <w:fldSimple w:instr=" SEQ Figure \* ARABIC ">
        <w:r w:rsidR="00B35FB9">
          <w:rPr>
            <w:noProof/>
          </w:rPr>
          <w:t>2</w:t>
        </w:r>
      </w:fldSimple>
      <w:r>
        <w:t>: The Panko and Port (2013) Study</w:t>
      </w:r>
    </w:p>
    <w:tbl>
      <w:tblPr>
        <w:tblW w:w="6800" w:type="dxa"/>
        <w:tblInd w:w="93" w:type="dxa"/>
        <w:tblLook w:val="04A0" w:firstRow="1" w:lastRow="0" w:firstColumn="1" w:lastColumn="0" w:noHBand="0" w:noVBand="1"/>
      </w:tblPr>
      <w:tblGrid>
        <w:gridCol w:w="2040"/>
        <w:gridCol w:w="1180"/>
        <w:gridCol w:w="960"/>
        <w:gridCol w:w="960"/>
        <w:gridCol w:w="1660"/>
      </w:tblGrid>
      <w:tr w:rsidR="00C345D3" w:rsidRPr="00C345D3" w:rsidTr="00C345D3">
        <w:trPr>
          <w:trHeight w:val="600"/>
        </w:trPr>
        <w:tc>
          <w:tcPr>
            <w:tcW w:w="2040"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C345D3" w:rsidRPr="002947A3" w:rsidRDefault="00C345D3" w:rsidP="00C345D3">
            <w:pPr>
              <w:rPr>
                <w:rFonts w:ascii="Arial" w:eastAsia="Times New Roman" w:hAnsi="Arial" w:cs="Arial"/>
                <w:b/>
                <w:bCs/>
                <w:color w:val="FFFFFF"/>
                <w:sz w:val="16"/>
                <w:szCs w:val="16"/>
              </w:rPr>
            </w:pPr>
            <w:r w:rsidRPr="002947A3">
              <w:rPr>
                <w:rFonts w:ascii="Arial" w:eastAsia="Times New Roman" w:hAnsi="Arial" w:cs="Arial"/>
                <w:b/>
                <w:bCs/>
                <w:color w:val="FFFFFF"/>
                <w:sz w:val="16"/>
                <w:szCs w:val="16"/>
              </w:rPr>
              <w:t>Research Category</w:t>
            </w:r>
          </w:p>
        </w:tc>
        <w:tc>
          <w:tcPr>
            <w:tcW w:w="1180" w:type="dxa"/>
            <w:tcBorders>
              <w:top w:val="single" w:sz="4" w:space="0" w:color="auto"/>
              <w:left w:val="nil"/>
              <w:bottom w:val="single" w:sz="4" w:space="0" w:color="auto"/>
              <w:right w:val="single" w:sz="4" w:space="0" w:color="auto"/>
            </w:tcBorders>
            <w:shd w:val="clear" w:color="000000" w:fill="4F81BD"/>
            <w:vAlign w:val="bottom"/>
            <w:hideMark/>
          </w:tcPr>
          <w:p w:rsidR="00C345D3" w:rsidRPr="002947A3" w:rsidRDefault="00C345D3" w:rsidP="00C345D3">
            <w:pPr>
              <w:jc w:val="center"/>
              <w:rPr>
                <w:rFonts w:ascii="Arial" w:eastAsia="Times New Roman" w:hAnsi="Arial" w:cs="Arial"/>
                <w:b/>
                <w:bCs/>
                <w:color w:val="FFFFFF"/>
                <w:sz w:val="16"/>
                <w:szCs w:val="16"/>
              </w:rPr>
            </w:pPr>
            <w:r w:rsidRPr="002947A3">
              <w:rPr>
                <w:rFonts w:ascii="Arial" w:eastAsia="Times New Roman" w:hAnsi="Arial" w:cs="Arial"/>
                <w:b/>
                <w:bCs/>
                <w:color w:val="FFFFFF"/>
                <w:sz w:val="16"/>
                <w:szCs w:val="16"/>
              </w:rPr>
              <w:t>Exploratory</w:t>
            </w:r>
          </w:p>
        </w:tc>
        <w:tc>
          <w:tcPr>
            <w:tcW w:w="960" w:type="dxa"/>
            <w:tcBorders>
              <w:top w:val="single" w:sz="4" w:space="0" w:color="auto"/>
              <w:left w:val="nil"/>
              <w:bottom w:val="single" w:sz="4" w:space="0" w:color="auto"/>
              <w:right w:val="single" w:sz="4" w:space="0" w:color="auto"/>
            </w:tcBorders>
            <w:shd w:val="clear" w:color="000000" w:fill="4F81BD"/>
            <w:vAlign w:val="bottom"/>
            <w:hideMark/>
          </w:tcPr>
          <w:p w:rsidR="00C345D3" w:rsidRPr="002947A3" w:rsidRDefault="00C345D3" w:rsidP="00C345D3">
            <w:pPr>
              <w:jc w:val="center"/>
              <w:rPr>
                <w:rFonts w:ascii="Arial" w:eastAsia="Times New Roman" w:hAnsi="Arial" w:cs="Arial"/>
                <w:b/>
                <w:bCs/>
                <w:color w:val="FFFFFF"/>
                <w:sz w:val="16"/>
                <w:szCs w:val="16"/>
              </w:rPr>
            </w:pPr>
            <w:r w:rsidRPr="002947A3">
              <w:rPr>
                <w:rFonts w:ascii="Arial" w:eastAsia="Times New Roman" w:hAnsi="Arial" w:cs="Arial"/>
                <w:b/>
                <w:bCs/>
                <w:color w:val="FFFFFF"/>
                <w:sz w:val="16"/>
                <w:szCs w:val="16"/>
              </w:rPr>
              <w:t>Theory Building</w:t>
            </w:r>
          </w:p>
        </w:tc>
        <w:tc>
          <w:tcPr>
            <w:tcW w:w="960" w:type="dxa"/>
            <w:tcBorders>
              <w:top w:val="single" w:sz="4" w:space="0" w:color="auto"/>
              <w:left w:val="nil"/>
              <w:bottom w:val="single" w:sz="4" w:space="0" w:color="auto"/>
              <w:right w:val="single" w:sz="4" w:space="0" w:color="auto"/>
            </w:tcBorders>
            <w:shd w:val="clear" w:color="000000" w:fill="4F81BD"/>
            <w:vAlign w:val="bottom"/>
            <w:hideMark/>
          </w:tcPr>
          <w:p w:rsidR="00C345D3" w:rsidRPr="002947A3" w:rsidRDefault="00C345D3" w:rsidP="00C345D3">
            <w:pPr>
              <w:jc w:val="center"/>
              <w:rPr>
                <w:rFonts w:ascii="Arial" w:eastAsia="Times New Roman" w:hAnsi="Arial" w:cs="Arial"/>
                <w:b/>
                <w:bCs/>
                <w:color w:val="FFFFFF"/>
                <w:sz w:val="16"/>
                <w:szCs w:val="16"/>
              </w:rPr>
            </w:pPr>
            <w:r w:rsidRPr="002947A3">
              <w:rPr>
                <w:rFonts w:ascii="Arial" w:eastAsia="Times New Roman" w:hAnsi="Arial" w:cs="Arial"/>
                <w:b/>
                <w:bCs/>
                <w:color w:val="FFFFFF"/>
                <w:sz w:val="16"/>
                <w:szCs w:val="16"/>
              </w:rPr>
              <w:t>Theory Testing</w:t>
            </w:r>
          </w:p>
        </w:tc>
        <w:tc>
          <w:tcPr>
            <w:tcW w:w="1660" w:type="dxa"/>
            <w:tcBorders>
              <w:top w:val="single" w:sz="4" w:space="0" w:color="auto"/>
              <w:left w:val="nil"/>
              <w:bottom w:val="single" w:sz="4" w:space="0" w:color="auto"/>
              <w:right w:val="single" w:sz="4" w:space="0" w:color="auto"/>
            </w:tcBorders>
            <w:shd w:val="clear" w:color="000000" w:fill="4F81BD"/>
            <w:vAlign w:val="bottom"/>
            <w:hideMark/>
          </w:tcPr>
          <w:p w:rsidR="00C345D3" w:rsidRPr="002947A3" w:rsidRDefault="00665C6C" w:rsidP="00665C6C">
            <w:pPr>
              <w:jc w:val="center"/>
              <w:rPr>
                <w:rFonts w:ascii="Arial" w:eastAsia="Times New Roman" w:hAnsi="Arial" w:cs="Arial"/>
                <w:b/>
                <w:bCs/>
                <w:color w:val="FFFFFF"/>
                <w:sz w:val="16"/>
                <w:szCs w:val="16"/>
              </w:rPr>
            </w:pPr>
            <w:r>
              <w:rPr>
                <w:rFonts w:ascii="Arial" w:eastAsia="Times New Roman" w:hAnsi="Arial" w:cs="Arial"/>
                <w:b/>
                <w:bCs/>
                <w:color w:val="FFFFFF"/>
                <w:sz w:val="16"/>
                <w:szCs w:val="16"/>
              </w:rPr>
              <w:t>Assimilation</w:t>
            </w:r>
            <w:r w:rsidR="002947A3">
              <w:rPr>
                <w:rFonts w:ascii="Arial" w:eastAsia="Times New Roman" w:hAnsi="Arial" w:cs="Arial"/>
                <w:b/>
                <w:bCs/>
                <w:color w:val="FFFFFF"/>
                <w:sz w:val="16"/>
                <w:szCs w:val="16"/>
              </w:rPr>
              <w:t xml:space="preserve"> </w:t>
            </w:r>
            <w:r>
              <w:rPr>
                <w:rFonts w:ascii="Arial" w:eastAsia="Times New Roman" w:hAnsi="Arial" w:cs="Arial"/>
                <w:b/>
                <w:bCs/>
                <w:color w:val="FFFFFF"/>
                <w:sz w:val="16"/>
                <w:szCs w:val="16"/>
              </w:rPr>
              <w:t>Research</w:t>
            </w:r>
          </w:p>
        </w:tc>
      </w:tr>
      <w:tr w:rsidR="00C345D3" w:rsidRPr="00C345D3" w:rsidTr="00C345D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Data Mining</w:t>
            </w:r>
          </w:p>
        </w:tc>
        <w:tc>
          <w:tcPr>
            <w:tcW w:w="1180" w:type="dxa"/>
            <w:tcBorders>
              <w:top w:val="nil"/>
              <w:left w:val="nil"/>
              <w:bottom w:val="single" w:sz="4" w:space="0" w:color="auto"/>
              <w:right w:val="single" w:sz="4" w:space="0" w:color="auto"/>
            </w:tcBorders>
            <w:shd w:val="clear" w:color="auto" w:fill="auto"/>
            <w:vAlign w:val="bottom"/>
            <w:hideMark/>
          </w:tcPr>
          <w:p w:rsidR="00C345D3" w:rsidRPr="002947A3" w:rsidRDefault="00C345D3" w:rsidP="00C345D3">
            <w:pPr>
              <w:jc w:val="cente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vAlign w:val="bottom"/>
            <w:hideMark/>
          </w:tcPr>
          <w:p w:rsidR="00C345D3" w:rsidRPr="002947A3" w:rsidRDefault="00C345D3" w:rsidP="00C345D3">
            <w:pPr>
              <w:jc w:val="cente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vAlign w:val="bottom"/>
            <w:hideMark/>
          </w:tcPr>
          <w:p w:rsidR="00C345D3" w:rsidRPr="002947A3" w:rsidRDefault="00C345D3" w:rsidP="00C345D3">
            <w:pPr>
              <w:jc w:val="cente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60" w:type="dxa"/>
            <w:tcBorders>
              <w:top w:val="nil"/>
              <w:left w:val="nil"/>
              <w:bottom w:val="single" w:sz="4" w:space="0" w:color="auto"/>
              <w:right w:val="single" w:sz="4" w:space="0" w:color="auto"/>
            </w:tcBorders>
            <w:shd w:val="clear" w:color="auto" w:fill="auto"/>
            <w:vAlign w:val="bottom"/>
            <w:hideMark/>
          </w:tcPr>
          <w:p w:rsidR="00C345D3" w:rsidRPr="002947A3" w:rsidRDefault="00C345D3" w:rsidP="00C345D3">
            <w:pPr>
              <w:jc w:val="cente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C345D3" w:rsidTr="00C345D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Observation</w:t>
            </w:r>
          </w:p>
        </w:tc>
        <w:tc>
          <w:tcPr>
            <w:tcW w:w="118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C345D3" w:rsidTr="00C345D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Interview</w:t>
            </w:r>
          </w:p>
        </w:tc>
        <w:tc>
          <w:tcPr>
            <w:tcW w:w="118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C345D3" w:rsidTr="00C345D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Focus Group</w:t>
            </w:r>
          </w:p>
        </w:tc>
        <w:tc>
          <w:tcPr>
            <w:tcW w:w="118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C345D3" w:rsidTr="00C345D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Case Study</w:t>
            </w:r>
          </w:p>
        </w:tc>
        <w:tc>
          <w:tcPr>
            <w:tcW w:w="118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C345D3" w:rsidTr="00C345D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Quasi Experiment</w:t>
            </w:r>
          </w:p>
        </w:tc>
        <w:tc>
          <w:tcPr>
            <w:tcW w:w="118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C345D3" w:rsidTr="00C345D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lastRenderedPageBreak/>
              <w:t>Experiment</w:t>
            </w:r>
          </w:p>
        </w:tc>
        <w:tc>
          <w:tcPr>
            <w:tcW w:w="118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C345D3" w:rsidTr="00C345D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432E68" w:rsidP="00C345D3">
            <w:pPr>
              <w:rPr>
                <w:rFonts w:ascii="Arial" w:eastAsia="Times New Roman" w:hAnsi="Arial" w:cs="Arial"/>
                <w:color w:val="000000"/>
                <w:sz w:val="16"/>
                <w:szCs w:val="16"/>
              </w:rPr>
            </w:pPr>
            <w:r>
              <w:rPr>
                <w:rFonts w:ascii="Arial" w:eastAsia="Times New Roman" w:hAnsi="Arial" w:cs="Arial"/>
                <w:color w:val="000000"/>
                <w:sz w:val="16"/>
                <w:szCs w:val="16"/>
              </w:rPr>
              <w:t>Questionnaire</w:t>
            </w:r>
          </w:p>
        </w:tc>
        <w:tc>
          <w:tcPr>
            <w:tcW w:w="118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C345D3" w:rsidTr="00C345D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B83954">
            <w:pPr>
              <w:rPr>
                <w:rFonts w:ascii="Arial" w:eastAsia="Times New Roman" w:hAnsi="Arial" w:cs="Arial"/>
                <w:color w:val="000000"/>
                <w:sz w:val="16"/>
                <w:szCs w:val="16"/>
              </w:rPr>
            </w:pPr>
            <w:r w:rsidRPr="002947A3">
              <w:rPr>
                <w:rFonts w:ascii="Arial" w:eastAsia="Times New Roman" w:hAnsi="Arial" w:cs="Arial"/>
                <w:color w:val="000000"/>
                <w:sz w:val="16"/>
                <w:szCs w:val="16"/>
              </w:rPr>
              <w:t xml:space="preserve">Cognitive </w:t>
            </w:r>
            <w:r w:rsidR="00B83954">
              <w:rPr>
                <w:rFonts w:ascii="Arial" w:eastAsia="Times New Roman" w:hAnsi="Arial" w:cs="Arial"/>
                <w:color w:val="000000"/>
                <w:sz w:val="16"/>
                <w:szCs w:val="16"/>
              </w:rPr>
              <w:t>Science</w:t>
            </w:r>
          </w:p>
        </w:tc>
        <w:tc>
          <w:tcPr>
            <w:tcW w:w="118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C345D3" w:rsidTr="00C345D3">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432E68" w:rsidP="00C345D3">
            <w:pPr>
              <w:rPr>
                <w:rFonts w:ascii="Arial" w:eastAsia="Times New Roman" w:hAnsi="Arial" w:cs="Arial"/>
                <w:color w:val="000000"/>
                <w:sz w:val="16"/>
                <w:szCs w:val="16"/>
              </w:rPr>
            </w:pPr>
            <w:r>
              <w:rPr>
                <w:rFonts w:ascii="Arial" w:eastAsia="Times New Roman" w:hAnsi="Arial" w:cs="Arial"/>
                <w:color w:val="000000"/>
                <w:sz w:val="16"/>
                <w:szCs w:val="16"/>
              </w:rPr>
              <w:t>Survey Research</w:t>
            </w:r>
          </w:p>
        </w:tc>
        <w:tc>
          <w:tcPr>
            <w:tcW w:w="1180" w:type="dxa"/>
            <w:tcBorders>
              <w:top w:val="nil"/>
              <w:left w:val="nil"/>
              <w:bottom w:val="single" w:sz="4" w:space="0" w:color="auto"/>
              <w:right w:val="single" w:sz="4" w:space="0" w:color="auto"/>
            </w:tcBorders>
            <w:shd w:val="clear" w:color="auto" w:fill="548DD4" w:themeFill="text2" w:themeFillTint="99"/>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60" w:type="dxa"/>
            <w:tcBorders>
              <w:top w:val="nil"/>
              <w:left w:val="nil"/>
              <w:bottom w:val="single" w:sz="4" w:space="0" w:color="auto"/>
              <w:right w:val="single" w:sz="4" w:space="0" w:color="auto"/>
            </w:tcBorders>
            <w:shd w:val="clear" w:color="auto" w:fill="DBE5F1" w:themeFill="accent1" w:themeFillTint="33"/>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bl>
    <w:p w:rsidR="00C345D3" w:rsidRDefault="00C345D3" w:rsidP="00650475"/>
    <w:p w:rsidR="00650475" w:rsidRDefault="00650475" w:rsidP="00E61BC6">
      <w:pPr>
        <w:pStyle w:val="Heading2"/>
      </w:pPr>
      <w:r>
        <w:t xml:space="preserve">The </w:t>
      </w:r>
      <w:r w:rsidR="00E61BC6">
        <w:t>m</w:t>
      </w:r>
      <w:r>
        <w:t xml:space="preserve">isuse of </w:t>
      </w:r>
      <w:r w:rsidR="00E61BC6">
        <w:t>s</w:t>
      </w:r>
      <w:r>
        <w:t xml:space="preserve">preadsheets in the </w:t>
      </w:r>
      <w:r w:rsidR="00C31668">
        <w:t>n</w:t>
      </w:r>
      <w:r>
        <w:t xml:space="preserve">uclear </w:t>
      </w:r>
      <w:r w:rsidR="00C31668">
        <w:t>f</w:t>
      </w:r>
      <w:r>
        <w:t xml:space="preserve">uel </w:t>
      </w:r>
      <w:r w:rsidR="00C31668">
        <w:t>i</w:t>
      </w:r>
      <w:r>
        <w:t xml:space="preserve">ndustry: The </w:t>
      </w:r>
      <w:r w:rsidR="00C31668">
        <w:t>f</w:t>
      </w:r>
      <w:r>
        <w:t xml:space="preserve">alsification of </w:t>
      </w:r>
      <w:r w:rsidR="00C31668">
        <w:t>s</w:t>
      </w:r>
      <w:r>
        <w:t xml:space="preserve">afety </w:t>
      </w:r>
      <w:r w:rsidR="00C31668">
        <w:t>c</w:t>
      </w:r>
      <w:r>
        <w:t xml:space="preserve">ritical </w:t>
      </w:r>
      <w:r w:rsidR="00C31668">
        <w:t>d</w:t>
      </w:r>
      <w:r>
        <w:t xml:space="preserve">ata </w:t>
      </w:r>
      <w:r w:rsidR="00C31668">
        <w:t>u</w:t>
      </w:r>
      <w:r>
        <w:t xml:space="preserve">sing </w:t>
      </w:r>
      <w:r w:rsidR="00C31668">
        <w:t>s</w:t>
      </w:r>
      <w:r>
        <w:t>preadsheets at British Nuclear Fuels Limited (BNFL)</w:t>
      </w:r>
    </w:p>
    <w:p w:rsidR="00650475" w:rsidRDefault="00650475" w:rsidP="00650475">
      <w:r>
        <w:t>Simon Thorne, Cardiff Metropolitan University, Wales, United Kingdom</w:t>
      </w:r>
    </w:p>
    <w:p w:rsidR="00E61BC6" w:rsidRDefault="00E61BC6" w:rsidP="00650475"/>
    <w:p w:rsidR="00650475" w:rsidRDefault="00FC1DB9" w:rsidP="00650475">
      <w:r>
        <w:tab/>
        <w:t>This paper reflects on a particularly dark chapter in nuclear safety. At least two shifts of workers faked data on quality inspections of Mixed Oxide (MOX) fuel pell</w:t>
      </w:r>
      <w:r w:rsidR="007D1730">
        <w:t>e</w:t>
      </w:r>
      <w:r>
        <w:t xml:space="preserve">ts produced at </w:t>
      </w:r>
      <w:r w:rsidR="007D1730">
        <w:t xml:space="preserve">the </w:t>
      </w:r>
      <w:proofErr w:type="spellStart"/>
      <w:r w:rsidR="007D1730">
        <w:t>Sellaford</w:t>
      </w:r>
      <w:proofErr w:type="spellEnd"/>
      <w:r w:rsidR="007D1730">
        <w:t xml:space="preserve"> operation of British Nuclear Fuels Limited (BNFL). They did this by copying the results that </w:t>
      </w:r>
      <w:r w:rsidR="00432E68">
        <w:t>previous shifts had entered in</w:t>
      </w:r>
      <w:r w:rsidR="007D1730">
        <w:t xml:space="preserve"> spreadsheets into the spreadsheets </w:t>
      </w:r>
      <w:r w:rsidR="00432E68">
        <w:t>on which they</w:t>
      </w:r>
      <w:r w:rsidR="007D1730">
        <w:t xml:space="preserve"> were supposed to record their own work. Their reasons for faking the data are unknown, but the personal benefits they must have received from doing so must have been minor. </w:t>
      </w:r>
      <w:r w:rsidR="00432E68">
        <w:t>In contrast,</w:t>
      </w:r>
      <w:r w:rsidR="007D1730">
        <w:t xml:space="preserve"> the impact of their misconduct was </w:t>
      </w:r>
      <w:r w:rsidR="00B83954">
        <w:t>enormous</w:t>
      </w:r>
      <w:r w:rsidR="007D1730">
        <w:t xml:space="preserve">. BNFL had to pay millions of pounds to </w:t>
      </w:r>
      <w:r w:rsidR="00B83954">
        <w:t>ship</w:t>
      </w:r>
      <w:r w:rsidR="007D1730">
        <w:t xml:space="preserve"> pellets of unknown quality </w:t>
      </w:r>
      <w:r w:rsidR="00B83954">
        <w:t xml:space="preserve">back </w:t>
      </w:r>
      <w:r w:rsidR="007D1730">
        <w:t xml:space="preserve">from Japan and Germany, and Japan stopped doing business with BNFL. The losses to BNFL were </w:t>
      </w:r>
      <w:r w:rsidR="00B83954">
        <w:t>heavy</w:t>
      </w:r>
      <w:r w:rsidR="007D1730">
        <w:t>.</w:t>
      </w:r>
    </w:p>
    <w:p w:rsidR="007D1730" w:rsidRDefault="007D1730" w:rsidP="00650475">
      <w:r>
        <w:tab/>
        <w:t>The paper draws upon a detailed audit of the incident. The purpose of the paper is to interpret what EUC researchers and corporations can learn from the incident to think about how spreadsheets (and other aspects of end user computing) need to be managed. The paper describes how the misbehavior was discovered and discusses why spreadsheets, which were a convenient way to record results, were so difficult to control. It also discusses the specific management lapses that may have made such spreadsheet falsifications almost inevitable. The paper argues that spreadsheets should have been replaced by a custom-built (bespoke) system.</w:t>
      </w:r>
    </w:p>
    <w:p w:rsidR="00C345D3" w:rsidRDefault="00C345D3" w:rsidP="00C345D3">
      <w:pPr>
        <w:pStyle w:val="Caption"/>
      </w:pPr>
      <w:r>
        <w:t xml:space="preserve">Figure </w:t>
      </w:r>
      <w:fldSimple w:instr=" SEQ Figure \* ARABIC ">
        <w:r w:rsidR="00B35FB9">
          <w:rPr>
            <w:noProof/>
          </w:rPr>
          <w:t>3</w:t>
        </w:r>
      </w:fldSimple>
      <w:r>
        <w:t>: The Thorne (2003) Paper</w:t>
      </w:r>
    </w:p>
    <w:tbl>
      <w:tblPr>
        <w:tblW w:w="8900" w:type="dxa"/>
        <w:tblInd w:w="93" w:type="dxa"/>
        <w:tblLook w:val="04A0" w:firstRow="1" w:lastRow="0" w:firstColumn="1" w:lastColumn="0" w:noHBand="0" w:noVBand="1"/>
      </w:tblPr>
      <w:tblGrid>
        <w:gridCol w:w="2020"/>
        <w:gridCol w:w="1720"/>
        <w:gridCol w:w="1720"/>
        <w:gridCol w:w="1720"/>
        <w:gridCol w:w="1720"/>
      </w:tblGrid>
      <w:tr w:rsidR="00C345D3" w:rsidRPr="002947A3" w:rsidTr="00C345D3">
        <w:trPr>
          <w:trHeight w:val="600"/>
        </w:trPr>
        <w:tc>
          <w:tcPr>
            <w:tcW w:w="2020"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C345D3" w:rsidRPr="002947A3" w:rsidRDefault="00C345D3" w:rsidP="00C345D3">
            <w:pPr>
              <w:rPr>
                <w:rFonts w:ascii="Arial" w:eastAsia="Times New Roman" w:hAnsi="Arial" w:cs="Arial"/>
                <w:b/>
                <w:bCs/>
                <w:color w:val="FFFFFF"/>
                <w:sz w:val="16"/>
                <w:szCs w:val="16"/>
              </w:rPr>
            </w:pPr>
            <w:r w:rsidRPr="002947A3">
              <w:rPr>
                <w:rFonts w:ascii="Arial" w:eastAsia="Times New Roman" w:hAnsi="Arial" w:cs="Arial"/>
                <w:b/>
                <w:bCs/>
                <w:color w:val="FFFFFF"/>
                <w:sz w:val="16"/>
                <w:szCs w:val="16"/>
              </w:rPr>
              <w:t>Research Category</w:t>
            </w:r>
          </w:p>
        </w:tc>
        <w:tc>
          <w:tcPr>
            <w:tcW w:w="1720" w:type="dxa"/>
            <w:tcBorders>
              <w:top w:val="single" w:sz="4" w:space="0" w:color="auto"/>
              <w:left w:val="nil"/>
              <w:bottom w:val="single" w:sz="4" w:space="0" w:color="auto"/>
              <w:right w:val="single" w:sz="4" w:space="0" w:color="auto"/>
            </w:tcBorders>
            <w:shd w:val="clear" w:color="000000" w:fill="4F81BD"/>
            <w:vAlign w:val="bottom"/>
            <w:hideMark/>
          </w:tcPr>
          <w:p w:rsidR="00C345D3" w:rsidRPr="002947A3" w:rsidRDefault="00C345D3" w:rsidP="00C345D3">
            <w:pPr>
              <w:jc w:val="center"/>
              <w:rPr>
                <w:rFonts w:ascii="Arial" w:eastAsia="Times New Roman" w:hAnsi="Arial" w:cs="Arial"/>
                <w:b/>
                <w:bCs/>
                <w:color w:val="FFFFFF"/>
                <w:sz w:val="16"/>
                <w:szCs w:val="16"/>
              </w:rPr>
            </w:pPr>
            <w:r w:rsidRPr="002947A3">
              <w:rPr>
                <w:rFonts w:ascii="Arial" w:eastAsia="Times New Roman" w:hAnsi="Arial" w:cs="Arial"/>
                <w:b/>
                <w:bCs/>
                <w:color w:val="FFFFFF"/>
                <w:sz w:val="16"/>
                <w:szCs w:val="16"/>
              </w:rPr>
              <w:t>Exploratory</w:t>
            </w:r>
          </w:p>
        </w:tc>
        <w:tc>
          <w:tcPr>
            <w:tcW w:w="1720" w:type="dxa"/>
            <w:tcBorders>
              <w:top w:val="single" w:sz="4" w:space="0" w:color="auto"/>
              <w:left w:val="nil"/>
              <w:bottom w:val="single" w:sz="4" w:space="0" w:color="auto"/>
              <w:right w:val="single" w:sz="4" w:space="0" w:color="auto"/>
            </w:tcBorders>
            <w:shd w:val="clear" w:color="000000" w:fill="4F81BD"/>
            <w:vAlign w:val="bottom"/>
            <w:hideMark/>
          </w:tcPr>
          <w:p w:rsidR="00C345D3" w:rsidRPr="002947A3" w:rsidRDefault="00C345D3" w:rsidP="00C345D3">
            <w:pPr>
              <w:jc w:val="center"/>
              <w:rPr>
                <w:rFonts w:ascii="Arial" w:eastAsia="Times New Roman" w:hAnsi="Arial" w:cs="Arial"/>
                <w:b/>
                <w:bCs/>
                <w:color w:val="FFFFFF"/>
                <w:sz w:val="16"/>
                <w:szCs w:val="16"/>
              </w:rPr>
            </w:pPr>
            <w:r w:rsidRPr="002947A3">
              <w:rPr>
                <w:rFonts w:ascii="Arial" w:eastAsia="Times New Roman" w:hAnsi="Arial" w:cs="Arial"/>
                <w:b/>
                <w:bCs/>
                <w:color w:val="FFFFFF"/>
                <w:sz w:val="16"/>
                <w:szCs w:val="16"/>
              </w:rPr>
              <w:t>Theory Building</w:t>
            </w:r>
          </w:p>
        </w:tc>
        <w:tc>
          <w:tcPr>
            <w:tcW w:w="1720" w:type="dxa"/>
            <w:tcBorders>
              <w:top w:val="single" w:sz="4" w:space="0" w:color="auto"/>
              <w:left w:val="nil"/>
              <w:bottom w:val="single" w:sz="4" w:space="0" w:color="auto"/>
              <w:right w:val="single" w:sz="4" w:space="0" w:color="auto"/>
            </w:tcBorders>
            <w:shd w:val="clear" w:color="000000" w:fill="4F81BD"/>
            <w:vAlign w:val="bottom"/>
            <w:hideMark/>
          </w:tcPr>
          <w:p w:rsidR="00C345D3" w:rsidRPr="002947A3" w:rsidRDefault="00C345D3" w:rsidP="00C345D3">
            <w:pPr>
              <w:jc w:val="center"/>
              <w:rPr>
                <w:rFonts w:ascii="Arial" w:eastAsia="Times New Roman" w:hAnsi="Arial" w:cs="Arial"/>
                <w:b/>
                <w:bCs/>
                <w:color w:val="FFFFFF"/>
                <w:sz w:val="16"/>
                <w:szCs w:val="16"/>
              </w:rPr>
            </w:pPr>
            <w:r w:rsidRPr="002947A3">
              <w:rPr>
                <w:rFonts w:ascii="Arial" w:eastAsia="Times New Roman" w:hAnsi="Arial" w:cs="Arial"/>
                <w:b/>
                <w:bCs/>
                <w:color w:val="FFFFFF"/>
                <w:sz w:val="16"/>
                <w:szCs w:val="16"/>
              </w:rPr>
              <w:t>Theory Testing</w:t>
            </w:r>
          </w:p>
        </w:tc>
        <w:tc>
          <w:tcPr>
            <w:tcW w:w="1720" w:type="dxa"/>
            <w:tcBorders>
              <w:top w:val="single" w:sz="4" w:space="0" w:color="auto"/>
              <w:left w:val="nil"/>
              <w:bottom w:val="single" w:sz="4" w:space="0" w:color="auto"/>
              <w:right w:val="single" w:sz="4" w:space="0" w:color="auto"/>
            </w:tcBorders>
            <w:shd w:val="clear" w:color="000000" w:fill="4F81BD"/>
            <w:vAlign w:val="bottom"/>
            <w:hideMark/>
          </w:tcPr>
          <w:p w:rsidR="00C345D3" w:rsidRPr="002947A3" w:rsidRDefault="00665C6C" w:rsidP="00665C6C">
            <w:pPr>
              <w:jc w:val="center"/>
              <w:rPr>
                <w:rFonts w:ascii="Arial" w:eastAsia="Times New Roman" w:hAnsi="Arial" w:cs="Arial"/>
                <w:b/>
                <w:bCs/>
                <w:color w:val="FFFFFF"/>
                <w:sz w:val="16"/>
                <w:szCs w:val="16"/>
              </w:rPr>
            </w:pPr>
            <w:r>
              <w:rPr>
                <w:rFonts w:ascii="Arial" w:eastAsia="Times New Roman" w:hAnsi="Arial" w:cs="Arial"/>
                <w:b/>
                <w:bCs/>
                <w:color w:val="FFFFFF"/>
                <w:sz w:val="16"/>
                <w:szCs w:val="16"/>
              </w:rPr>
              <w:t>Assimilation Research</w:t>
            </w:r>
          </w:p>
        </w:tc>
      </w:tr>
      <w:tr w:rsidR="00C345D3" w:rsidRPr="002947A3" w:rsidTr="00C345D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Data Mining</w:t>
            </w:r>
          </w:p>
        </w:tc>
        <w:tc>
          <w:tcPr>
            <w:tcW w:w="1720" w:type="dxa"/>
            <w:tcBorders>
              <w:top w:val="nil"/>
              <w:left w:val="nil"/>
              <w:bottom w:val="single" w:sz="4" w:space="0" w:color="auto"/>
              <w:right w:val="single" w:sz="4" w:space="0" w:color="auto"/>
            </w:tcBorders>
            <w:shd w:val="clear" w:color="auto" w:fill="auto"/>
            <w:vAlign w:val="bottom"/>
            <w:hideMark/>
          </w:tcPr>
          <w:p w:rsidR="00C345D3" w:rsidRPr="002947A3" w:rsidRDefault="00C345D3" w:rsidP="00C345D3">
            <w:pPr>
              <w:jc w:val="cente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vAlign w:val="bottom"/>
            <w:hideMark/>
          </w:tcPr>
          <w:p w:rsidR="00C345D3" w:rsidRPr="002947A3" w:rsidRDefault="00C345D3" w:rsidP="00C345D3">
            <w:pPr>
              <w:jc w:val="cente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vAlign w:val="bottom"/>
            <w:hideMark/>
          </w:tcPr>
          <w:p w:rsidR="00C345D3" w:rsidRPr="002947A3" w:rsidRDefault="00C345D3" w:rsidP="00C345D3">
            <w:pPr>
              <w:jc w:val="cente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vAlign w:val="bottom"/>
            <w:hideMark/>
          </w:tcPr>
          <w:p w:rsidR="00C345D3" w:rsidRPr="002947A3" w:rsidRDefault="00C345D3" w:rsidP="00C345D3">
            <w:pPr>
              <w:jc w:val="cente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2947A3" w:rsidTr="00C345D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Observation</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2947A3" w:rsidTr="00C345D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Interview</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2947A3" w:rsidTr="00C345D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Focus Group</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2947A3" w:rsidTr="00C345D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lastRenderedPageBreak/>
              <w:t>Case Study</w:t>
            </w:r>
          </w:p>
        </w:tc>
        <w:tc>
          <w:tcPr>
            <w:tcW w:w="1720" w:type="dxa"/>
            <w:tcBorders>
              <w:top w:val="nil"/>
              <w:left w:val="nil"/>
              <w:bottom w:val="single" w:sz="4" w:space="0" w:color="auto"/>
              <w:right w:val="single" w:sz="4" w:space="0" w:color="auto"/>
            </w:tcBorders>
            <w:shd w:val="clear" w:color="000000" w:fill="538DD5"/>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000000" w:fill="C5D9F1"/>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2947A3" w:rsidTr="00C345D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Quasi Experiment</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2947A3" w:rsidTr="00C345D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Experiment</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2947A3" w:rsidTr="00C345D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B83954" w:rsidP="00C345D3">
            <w:pPr>
              <w:rPr>
                <w:rFonts w:ascii="Arial" w:eastAsia="Times New Roman" w:hAnsi="Arial" w:cs="Arial"/>
                <w:color w:val="000000"/>
                <w:sz w:val="16"/>
                <w:szCs w:val="16"/>
              </w:rPr>
            </w:pPr>
            <w:r>
              <w:rPr>
                <w:rFonts w:ascii="Arial" w:eastAsia="Times New Roman" w:hAnsi="Arial" w:cs="Arial"/>
                <w:color w:val="000000"/>
                <w:sz w:val="16"/>
                <w:szCs w:val="16"/>
              </w:rPr>
              <w:t>Questionnaire</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2947A3" w:rsidTr="00C345D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B83954">
            <w:pPr>
              <w:rPr>
                <w:rFonts w:ascii="Arial" w:eastAsia="Times New Roman" w:hAnsi="Arial" w:cs="Arial"/>
                <w:color w:val="000000"/>
                <w:sz w:val="16"/>
                <w:szCs w:val="16"/>
              </w:rPr>
            </w:pPr>
            <w:r w:rsidRPr="002947A3">
              <w:rPr>
                <w:rFonts w:ascii="Arial" w:eastAsia="Times New Roman" w:hAnsi="Arial" w:cs="Arial"/>
                <w:color w:val="000000"/>
                <w:sz w:val="16"/>
                <w:szCs w:val="16"/>
              </w:rPr>
              <w:t xml:space="preserve">Cognitive </w:t>
            </w:r>
            <w:r w:rsidR="00B83954">
              <w:rPr>
                <w:rFonts w:ascii="Arial" w:eastAsia="Times New Roman" w:hAnsi="Arial" w:cs="Arial"/>
                <w:color w:val="000000"/>
                <w:sz w:val="16"/>
                <w:szCs w:val="16"/>
              </w:rPr>
              <w:t>Science</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2947A3" w:rsidTr="00C345D3">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B83954" w:rsidP="00C345D3">
            <w:pPr>
              <w:rPr>
                <w:rFonts w:ascii="Arial" w:eastAsia="Times New Roman" w:hAnsi="Arial" w:cs="Arial"/>
                <w:color w:val="000000"/>
                <w:sz w:val="16"/>
                <w:szCs w:val="16"/>
              </w:rPr>
            </w:pPr>
            <w:r>
              <w:rPr>
                <w:rFonts w:ascii="Arial" w:eastAsia="Times New Roman" w:hAnsi="Arial" w:cs="Arial"/>
                <w:color w:val="000000"/>
                <w:sz w:val="16"/>
                <w:szCs w:val="16"/>
              </w:rPr>
              <w:t>Survey Research</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bl>
    <w:p w:rsidR="00C345D3" w:rsidRPr="00C345D3" w:rsidRDefault="00C345D3" w:rsidP="00C345D3"/>
    <w:p w:rsidR="00650475" w:rsidRDefault="00650475" w:rsidP="00E61BC6">
      <w:pPr>
        <w:pStyle w:val="Heading2"/>
      </w:pPr>
      <w:r>
        <w:t xml:space="preserve">A </w:t>
      </w:r>
      <w:r w:rsidR="00C31668">
        <w:t>c</w:t>
      </w:r>
      <w:r>
        <w:t xml:space="preserve">omposite </w:t>
      </w:r>
      <w:r w:rsidR="00C31668">
        <w:t>f</w:t>
      </w:r>
      <w:r>
        <w:t xml:space="preserve">ramework for </w:t>
      </w:r>
      <w:r w:rsidR="00C31668">
        <w:t>b</w:t>
      </w:r>
      <w:r>
        <w:t xml:space="preserve">ehavioral </w:t>
      </w:r>
      <w:r w:rsidR="00C31668">
        <w:t>c</w:t>
      </w:r>
      <w:r>
        <w:t xml:space="preserve">ompliance with </w:t>
      </w:r>
      <w:r w:rsidR="00C31668">
        <w:t>i</w:t>
      </w:r>
      <w:r>
        <w:t xml:space="preserve">nformation </w:t>
      </w:r>
      <w:r w:rsidR="00C31668">
        <w:t>s</w:t>
      </w:r>
      <w:r>
        <w:t xml:space="preserve">ecurity </w:t>
      </w:r>
      <w:r w:rsidR="00C31668">
        <w:t>p</w:t>
      </w:r>
      <w:r>
        <w:t>olicies</w:t>
      </w:r>
    </w:p>
    <w:p w:rsidR="00650475" w:rsidRDefault="00650475" w:rsidP="00650475">
      <w:r>
        <w:t>Salvatore Aurigemma, University of Hawai`i, USA</w:t>
      </w:r>
    </w:p>
    <w:p w:rsidR="00650475" w:rsidRDefault="007D1730" w:rsidP="00650475">
      <w:r>
        <w:tab/>
        <w:t xml:space="preserve">One of the great puzzles in security is why so many “good” employees cause harm by failing to </w:t>
      </w:r>
      <w:r w:rsidR="009859BE">
        <w:t>follow</w:t>
      </w:r>
      <w:r>
        <w:t xml:space="preserve"> the firm’s information security policy (ISP). </w:t>
      </w:r>
      <w:r w:rsidR="004B5CF1">
        <w:t xml:space="preserve">These good employees often cause far more total damage than attackers driven by nefarious </w:t>
      </w:r>
      <w:r w:rsidR="009859BE">
        <w:t>motivations</w:t>
      </w:r>
      <w:r w:rsidR="004B5CF1">
        <w:t>.</w:t>
      </w:r>
    </w:p>
    <w:p w:rsidR="007D1730" w:rsidRDefault="007D1730" w:rsidP="00650475">
      <w:r>
        <w:tab/>
        <w:t xml:space="preserve">Aurigemma examined a number of critical papers that looked at factors that </w:t>
      </w:r>
      <w:r w:rsidR="009859BE">
        <w:t>impel</w:t>
      </w:r>
      <w:r>
        <w:t xml:space="preserve"> employees to </w:t>
      </w:r>
      <w:r w:rsidR="005D51D7">
        <w:t xml:space="preserve">comply with ISP requirements. These papers have used influence diagrams to model interactions among variables. They collected data from many users and asked about these factors and also about the users’ expressed intention to comply with security policies. Unfortunately, the analysis, which is presented in the paper, found a number of issues in these studies. For example, they often used very similar </w:t>
      </w:r>
      <w:proofErr w:type="spellStart"/>
      <w:r w:rsidR="005D51D7">
        <w:t>operationalizations</w:t>
      </w:r>
      <w:proofErr w:type="spellEnd"/>
      <w:r w:rsidR="005D51D7">
        <w:t xml:space="preserve"> of several variables but used different terminology. (In one case, two papers drawn from the same database did this). This makes the studies difficult to compare. All models were validated through the data that they collected, but it is difficult to draw conclusions given the diversity of conceptual models. In addition, few studies determined whether the behaviors they asked about were part of the firm’s ISP or even whether the firm had an ISP. </w:t>
      </w:r>
      <w:r w:rsidR="009859BE">
        <w:t xml:space="preserve">In addition, the studies either asked about a general intent to comply with the firm’s ISP or intent to comply with specific aspects of the ISP but not both. </w:t>
      </w:r>
      <w:r w:rsidR="005D51D7">
        <w:t xml:space="preserve">Finally, the papers tended to use analysis methods that are popular but that should not be applied in studies like these. </w:t>
      </w:r>
    </w:p>
    <w:p w:rsidR="005D51D7" w:rsidRDefault="005D51D7" w:rsidP="00650475">
      <w:r>
        <w:tab/>
        <w:t>The paper then describe</w:t>
      </w:r>
      <w:r w:rsidR="009859BE">
        <w:t>s</w:t>
      </w:r>
      <w:r>
        <w:t xml:space="preserve"> and ongoing study on ISP compliance intentions. It presents an integrative model of concepts and their relationships that and discusses an analysis method that will be more appropriate in terms of quantitative analysis. The model </w:t>
      </w:r>
      <w:r w:rsidR="009859BE">
        <w:t>is currently being</w:t>
      </w:r>
      <w:r>
        <w:t xml:space="preserve"> applied to a sample of people who have a particular ISP, who are tested on their knowledge of </w:t>
      </w:r>
      <w:r w:rsidR="009859BE">
        <w:t>this</w:t>
      </w:r>
      <w:r>
        <w:t xml:space="preserve"> ISP annually, and who are required to comply with a number of specific provisions. The study explores compliance intent overall and for specific situations. In an important extension, </w:t>
      </w:r>
      <w:r>
        <w:lastRenderedPageBreak/>
        <w:t xml:space="preserve">it looks at </w:t>
      </w:r>
      <w:r w:rsidR="0026254D">
        <w:t xml:space="preserve">intention to </w:t>
      </w:r>
      <w:r w:rsidR="009859BE">
        <w:t>report</w:t>
      </w:r>
      <w:r w:rsidR="0026254D">
        <w:t xml:space="preserve"> others </w:t>
      </w:r>
      <w:r w:rsidR="009859BE">
        <w:t>for</w:t>
      </w:r>
      <w:r w:rsidR="0026254D">
        <w:t xml:space="preserve"> security violations under varying conditions of differing organizational status.</w:t>
      </w:r>
    </w:p>
    <w:p w:rsidR="00C345D3" w:rsidRDefault="00C345D3" w:rsidP="00C345D3">
      <w:pPr>
        <w:pStyle w:val="Caption"/>
      </w:pPr>
      <w:r>
        <w:t xml:space="preserve">Figure </w:t>
      </w:r>
      <w:fldSimple w:instr=" SEQ Figure \* ARABIC ">
        <w:r w:rsidR="00B35FB9">
          <w:rPr>
            <w:noProof/>
          </w:rPr>
          <w:t>4</w:t>
        </w:r>
      </w:fldSimple>
      <w:r>
        <w:t>: The Aurigemma (2013) Paper</w:t>
      </w:r>
    </w:p>
    <w:tbl>
      <w:tblPr>
        <w:tblW w:w="7780" w:type="dxa"/>
        <w:tblInd w:w="93" w:type="dxa"/>
        <w:tblLook w:val="04A0" w:firstRow="1" w:lastRow="0" w:firstColumn="1" w:lastColumn="0" w:noHBand="0" w:noVBand="1"/>
      </w:tblPr>
      <w:tblGrid>
        <w:gridCol w:w="2100"/>
        <w:gridCol w:w="1360"/>
        <w:gridCol w:w="1360"/>
        <w:gridCol w:w="1360"/>
        <w:gridCol w:w="1600"/>
      </w:tblGrid>
      <w:tr w:rsidR="00C345D3" w:rsidRPr="00C345D3" w:rsidTr="00C345D3">
        <w:trPr>
          <w:trHeight w:val="600"/>
        </w:trPr>
        <w:tc>
          <w:tcPr>
            <w:tcW w:w="2100"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C345D3" w:rsidRPr="002947A3" w:rsidRDefault="00C345D3" w:rsidP="00C345D3">
            <w:pPr>
              <w:rPr>
                <w:rFonts w:ascii="Arial" w:eastAsia="Times New Roman" w:hAnsi="Arial" w:cs="Arial"/>
                <w:b/>
                <w:bCs/>
                <w:color w:val="FFFFFF"/>
                <w:sz w:val="16"/>
                <w:szCs w:val="16"/>
              </w:rPr>
            </w:pPr>
            <w:r w:rsidRPr="002947A3">
              <w:rPr>
                <w:rFonts w:ascii="Arial" w:eastAsia="Times New Roman" w:hAnsi="Arial" w:cs="Arial"/>
                <w:b/>
                <w:bCs/>
                <w:color w:val="FFFFFF"/>
                <w:sz w:val="16"/>
                <w:szCs w:val="16"/>
              </w:rPr>
              <w:t>Research Category</w:t>
            </w:r>
          </w:p>
        </w:tc>
        <w:tc>
          <w:tcPr>
            <w:tcW w:w="1360" w:type="dxa"/>
            <w:tcBorders>
              <w:top w:val="single" w:sz="4" w:space="0" w:color="auto"/>
              <w:left w:val="nil"/>
              <w:bottom w:val="single" w:sz="4" w:space="0" w:color="auto"/>
              <w:right w:val="single" w:sz="4" w:space="0" w:color="auto"/>
            </w:tcBorders>
            <w:shd w:val="clear" w:color="000000" w:fill="4F81BD"/>
            <w:vAlign w:val="bottom"/>
            <w:hideMark/>
          </w:tcPr>
          <w:p w:rsidR="00C345D3" w:rsidRPr="002947A3" w:rsidRDefault="00C345D3" w:rsidP="00C345D3">
            <w:pPr>
              <w:jc w:val="center"/>
              <w:rPr>
                <w:rFonts w:ascii="Arial" w:eastAsia="Times New Roman" w:hAnsi="Arial" w:cs="Arial"/>
                <w:b/>
                <w:bCs/>
                <w:color w:val="FFFFFF"/>
                <w:sz w:val="16"/>
                <w:szCs w:val="16"/>
              </w:rPr>
            </w:pPr>
            <w:r w:rsidRPr="002947A3">
              <w:rPr>
                <w:rFonts w:ascii="Arial" w:eastAsia="Times New Roman" w:hAnsi="Arial" w:cs="Arial"/>
                <w:b/>
                <w:bCs/>
                <w:color w:val="FFFFFF"/>
                <w:sz w:val="16"/>
                <w:szCs w:val="16"/>
              </w:rPr>
              <w:t>Exploratory</w:t>
            </w:r>
          </w:p>
        </w:tc>
        <w:tc>
          <w:tcPr>
            <w:tcW w:w="1360" w:type="dxa"/>
            <w:tcBorders>
              <w:top w:val="single" w:sz="4" w:space="0" w:color="auto"/>
              <w:left w:val="nil"/>
              <w:bottom w:val="single" w:sz="4" w:space="0" w:color="auto"/>
              <w:right w:val="single" w:sz="4" w:space="0" w:color="auto"/>
            </w:tcBorders>
            <w:shd w:val="clear" w:color="000000" w:fill="4F81BD"/>
            <w:vAlign w:val="bottom"/>
            <w:hideMark/>
          </w:tcPr>
          <w:p w:rsidR="00C345D3" w:rsidRPr="002947A3" w:rsidRDefault="00C345D3" w:rsidP="00C345D3">
            <w:pPr>
              <w:jc w:val="center"/>
              <w:rPr>
                <w:rFonts w:ascii="Arial" w:eastAsia="Times New Roman" w:hAnsi="Arial" w:cs="Arial"/>
                <w:b/>
                <w:bCs/>
                <w:color w:val="FFFFFF"/>
                <w:sz w:val="16"/>
                <w:szCs w:val="16"/>
              </w:rPr>
            </w:pPr>
            <w:r w:rsidRPr="002947A3">
              <w:rPr>
                <w:rFonts w:ascii="Arial" w:eastAsia="Times New Roman" w:hAnsi="Arial" w:cs="Arial"/>
                <w:b/>
                <w:bCs/>
                <w:color w:val="FFFFFF"/>
                <w:sz w:val="16"/>
                <w:szCs w:val="16"/>
              </w:rPr>
              <w:t>Theory Building</w:t>
            </w:r>
          </w:p>
        </w:tc>
        <w:tc>
          <w:tcPr>
            <w:tcW w:w="1360" w:type="dxa"/>
            <w:tcBorders>
              <w:top w:val="single" w:sz="4" w:space="0" w:color="auto"/>
              <w:left w:val="nil"/>
              <w:bottom w:val="single" w:sz="4" w:space="0" w:color="auto"/>
              <w:right w:val="single" w:sz="4" w:space="0" w:color="auto"/>
            </w:tcBorders>
            <w:shd w:val="clear" w:color="000000" w:fill="4F81BD"/>
            <w:vAlign w:val="bottom"/>
            <w:hideMark/>
          </w:tcPr>
          <w:p w:rsidR="00C345D3" w:rsidRPr="002947A3" w:rsidRDefault="00C345D3" w:rsidP="00C345D3">
            <w:pPr>
              <w:jc w:val="center"/>
              <w:rPr>
                <w:rFonts w:ascii="Arial" w:eastAsia="Times New Roman" w:hAnsi="Arial" w:cs="Arial"/>
                <w:b/>
                <w:bCs/>
                <w:color w:val="FFFFFF"/>
                <w:sz w:val="16"/>
                <w:szCs w:val="16"/>
              </w:rPr>
            </w:pPr>
            <w:r w:rsidRPr="002947A3">
              <w:rPr>
                <w:rFonts w:ascii="Arial" w:eastAsia="Times New Roman" w:hAnsi="Arial" w:cs="Arial"/>
                <w:b/>
                <w:bCs/>
                <w:color w:val="FFFFFF"/>
                <w:sz w:val="16"/>
                <w:szCs w:val="16"/>
              </w:rPr>
              <w:t>Theory Testing</w:t>
            </w:r>
          </w:p>
        </w:tc>
        <w:tc>
          <w:tcPr>
            <w:tcW w:w="1600" w:type="dxa"/>
            <w:tcBorders>
              <w:top w:val="single" w:sz="4" w:space="0" w:color="auto"/>
              <w:left w:val="nil"/>
              <w:bottom w:val="single" w:sz="4" w:space="0" w:color="auto"/>
              <w:right w:val="single" w:sz="4" w:space="0" w:color="auto"/>
            </w:tcBorders>
            <w:shd w:val="clear" w:color="000000" w:fill="4F81BD"/>
            <w:vAlign w:val="bottom"/>
            <w:hideMark/>
          </w:tcPr>
          <w:p w:rsidR="00C345D3" w:rsidRPr="002947A3" w:rsidRDefault="00665C6C" w:rsidP="00665C6C">
            <w:pPr>
              <w:jc w:val="center"/>
              <w:rPr>
                <w:rFonts w:ascii="Arial" w:eastAsia="Times New Roman" w:hAnsi="Arial" w:cs="Arial"/>
                <w:b/>
                <w:bCs/>
                <w:color w:val="FFFFFF"/>
                <w:sz w:val="16"/>
                <w:szCs w:val="16"/>
              </w:rPr>
            </w:pPr>
            <w:r>
              <w:rPr>
                <w:rFonts w:ascii="Arial" w:eastAsia="Times New Roman" w:hAnsi="Arial" w:cs="Arial"/>
                <w:b/>
                <w:bCs/>
                <w:color w:val="FFFFFF"/>
                <w:sz w:val="16"/>
                <w:szCs w:val="16"/>
              </w:rPr>
              <w:t>Assimilation</w:t>
            </w:r>
            <w:r w:rsidR="002947A3">
              <w:rPr>
                <w:rFonts w:ascii="Arial" w:eastAsia="Times New Roman" w:hAnsi="Arial" w:cs="Arial"/>
                <w:b/>
                <w:bCs/>
                <w:color w:val="FFFFFF"/>
                <w:sz w:val="16"/>
                <w:szCs w:val="16"/>
              </w:rPr>
              <w:t xml:space="preserve"> </w:t>
            </w:r>
            <w:r>
              <w:rPr>
                <w:rFonts w:ascii="Arial" w:eastAsia="Times New Roman" w:hAnsi="Arial" w:cs="Arial"/>
                <w:b/>
                <w:bCs/>
                <w:color w:val="FFFFFF"/>
                <w:sz w:val="16"/>
                <w:szCs w:val="16"/>
              </w:rPr>
              <w:t>Research</w:t>
            </w:r>
          </w:p>
        </w:tc>
      </w:tr>
      <w:tr w:rsidR="00C345D3" w:rsidRPr="00C345D3" w:rsidTr="00C345D3">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Data Mining</w:t>
            </w:r>
          </w:p>
        </w:tc>
        <w:tc>
          <w:tcPr>
            <w:tcW w:w="1360" w:type="dxa"/>
            <w:tcBorders>
              <w:top w:val="nil"/>
              <w:left w:val="nil"/>
              <w:bottom w:val="single" w:sz="4" w:space="0" w:color="auto"/>
              <w:right w:val="single" w:sz="4" w:space="0" w:color="auto"/>
            </w:tcBorders>
            <w:shd w:val="clear" w:color="auto" w:fill="auto"/>
            <w:vAlign w:val="bottom"/>
            <w:hideMark/>
          </w:tcPr>
          <w:p w:rsidR="00C345D3" w:rsidRPr="002947A3" w:rsidRDefault="00C345D3" w:rsidP="00C345D3">
            <w:pPr>
              <w:jc w:val="cente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vAlign w:val="bottom"/>
            <w:hideMark/>
          </w:tcPr>
          <w:p w:rsidR="00C345D3" w:rsidRPr="002947A3" w:rsidRDefault="00C345D3" w:rsidP="00C345D3">
            <w:pPr>
              <w:jc w:val="cente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vAlign w:val="bottom"/>
            <w:hideMark/>
          </w:tcPr>
          <w:p w:rsidR="00C345D3" w:rsidRPr="002947A3" w:rsidRDefault="00C345D3" w:rsidP="00C345D3">
            <w:pPr>
              <w:jc w:val="cente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vAlign w:val="bottom"/>
            <w:hideMark/>
          </w:tcPr>
          <w:p w:rsidR="00C345D3" w:rsidRPr="002947A3" w:rsidRDefault="00C345D3" w:rsidP="00C345D3">
            <w:pPr>
              <w:jc w:val="cente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C345D3" w:rsidTr="00C345D3">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Observation</w:t>
            </w:r>
          </w:p>
        </w:tc>
        <w:tc>
          <w:tcPr>
            <w:tcW w:w="13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C345D3" w:rsidTr="00C345D3">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Interview</w:t>
            </w:r>
          </w:p>
        </w:tc>
        <w:tc>
          <w:tcPr>
            <w:tcW w:w="13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C345D3" w:rsidTr="00C345D3">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Focus Group</w:t>
            </w:r>
          </w:p>
        </w:tc>
        <w:tc>
          <w:tcPr>
            <w:tcW w:w="13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C345D3" w:rsidRPr="00C345D3" w:rsidTr="00C345D3">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Case Study</w:t>
            </w:r>
          </w:p>
        </w:tc>
        <w:tc>
          <w:tcPr>
            <w:tcW w:w="13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C345D3" w:rsidRPr="002947A3" w:rsidRDefault="00C345D3"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5F2764" w:rsidRPr="00C345D3" w:rsidTr="005F276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Quasi Experiment</w:t>
            </w:r>
          </w:p>
        </w:tc>
        <w:tc>
          <w:tcPr>
            <w:tcW w:w="136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42629F">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42629F">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5F2764" w:rsidRPr="00C345D3" w:rsidTr="005F276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Experiment</w:t>
            </w:r>
          </w:p>
        </w:tc>
        <w:tc>
          <w:tcPr>
            <w:tcW w:w="136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tcPr>
          <w:p w:rsidR="005F2764" w:rsidRPr="002947A3" w:rsidRDefault="005F2764" w:rsidP="00C345D3">
            <w:pPr>
              <w:rPr>
                <w:rFonts w:ascii="Arial" w:eastAsia="Times New Roman" w:hAnsi="Arial" w:cs="Arial"/>
                <w:color w:val="000000"/>
                <w:sz w:val="16"/>
                <w:szCs w:val="16"/>
              </w:rPr>
            </w:pPr>
          </w:p>
        </w:tc>
        <w:tc>
          <w:tcPr>
            <w:tcW w:w="1360" w:type="dxa"/>
            <w:tcBorders>
              <w:top w:val="nil"/>
              <w:left w:val="nil"/>
              <w:bottom w:val="single" w:sz="4" w:space="0" w:color="auto"/>
              <w:right w:val="single" w:sz="4" w:space="0" w:color="auto"/>
            </w:tcBorders>
            <w:shd w:val="clear" w:color="auto" w:fill="auto"/>
            <w:noWrap/>
            <w:vAlign w:val="bottom"/>
          </w:tcPr>
          <w:p w:rsidR="005F2764" w:rsidRPr="002947A3" w:rsidRDefault="005F2764" w:rsidP="00C345D3">
            <w:pPr>
              <w:rPr>
                <w:rFonts w:ascii="Arial" w:eastAsia="Times New Roman" w:hAnsi="Arial" w:cs="Arial"/>
                <w:color w:val="000000"/>
                <w:sz w:val="16"/>
                <w:szCs w:val="16"/>
              </w:rPr>
            </w:pPr>
          </w:p>
        </w:tc>
        <w:tc>
          <w:tcPr>
            <w:tcW w:w="160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5F2764" w:rsidRPr="00C345D3" w:rsidTr="005F276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Pr>
                <w:rFonts w:ascii="Arial" w:eastAsia="Times New Roman" w:hAnsi="Arial" w:cs="Arial"/>
                <w:color w:val="000000"/>
                <w:sz w:val="16"/>
                <w:szCs w:val="16"/>
              </w:rPr>
              <w:t>Questionnaire</w:t>
            </w:r>
          </w:p>
        </w:tc>
        <w:tc>
          <w:tcPr>
            <w:tcW w:w="136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548DD4" w:themeFill="text2" w:themeFillTint="99"/>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5F2764" w:rsidRPr="00C345D3" w:rsidTr="00C345D3">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F2764" w:rsidRPr="002947A3" w:rsidRDefault="005F2764" w:rsidP="00B83954">
            <w:pPr>
              <w:rPr>
                <w:rFonts w:ascii="Arial" w:eastAsia="Times New Roman" w:hAnsi="Arial" w:cs="Arial"/>
                <w:color w:val="000000"/>
                <w:sz w:val="16"/>
                <w:szCs w:val="16"/>
              </w:rPr>
            </w:pPr>
            <w:r w:rsidRPr="002947A3">
              <w:rPr>
                <w:rFonts w:ascii="Arial" w:eastAsia="Times New Roman" w:hAnsi="Arial" w:cs="Arial"/>
                <w:color w:val="000000"/>
                <w:sz w:val="16"/>
                <w:szCs w:val="16"/>
              </w:rPr>
              <w:t xml:space="preserve">Cognitive </w:t>
            </w:r>
            <w:r>
              <w:rPr>
                <w:rFonts w:ascii="Arial" w:eastAsia="Times New Roman" w:hAnsi="Arial" w:cs="Arial"/>
                <w:color w:val="000000"/>
                <w:sz w:val="16"/>
                <w:szCs w:val="16"/>
              </w:rPr>
              <w:t>Science</w:t>
            </w:r>
          </w:p>
        </w:tc>
        <w:tc>
          <w:tcPr>
            <w:tcW w:w="136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r w:rsidR="005F2764" w:rsidRPr="00C345D3" w:rsidTr="00C345D3">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Pr>
                <w:rFonts w:ascii="Arial" w:eastAsia="Times New Roman" w:hAnsi="Arial" w:cs="Arial"/>
                <w:color w:val="000000"/>
                <w:sz w:val="16"/>
                <w:szCs w:val="16"/>
              </w:rPr>
              <w:t>Survey Research</w:t>
            </w:r>
          </w:p>
        </w:tc>
        <w:tc>
          <w:tcPr>
            <w:tcW w:w="136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bottom"/>
            <w:hideMark/>
          </w:tcPr>
          <w:p w:rsidR="005F2764" w:rsidRPr="002947A3" w:rsidRDefault="005F2764" w:rsidP="00C345D3">
            <w:pPr>
              <w:rPr>
                <w:rFonts w:ascii="Arial" w:eastAsia="Times New Roman" w:hAnsi="Arial" w:cs="Arial"/>
                <w:color w:val="000000"/>
                <w:sz w:val="16"/>
                <w:szCs w:val="16"/>
              </w:rPr>
            </w:pPr>
            <w:r w:rsidRPr="002947A3">
              <w:rPr>
                <w:rFonts w:ascii="Arial" w:eastAsia="Times New Roman" w:hAnsi="Arial" w:cs="Arial"/>
                <w:color w:val="000000"/>
                <w:sz w:val="16"/>
                <w:szCs w:val="16"/>
              </w:rPr>
              <w:t> </w:t>
            </w:r>
          </w:p>
        </w:tc>
      </w:tr>
    </w:tbl>
    <w:p w:rsidR="00C345D3" w:rsidRDefault="00C345D3" w:rsidP="00C345D3"/>
    <w:p w:rsidR="00650475" w:rsidRPr="00E06B41" w:rsidRDefault="00650475" w:rsidP="00E61BC6">
      <w:pPr>
        <w:pStyle w:val="Heading2"/>
      </w:pPr>
      <w:r>
        <w:t xml:space="preserve">Simplicity is </w:t>
      </w:r>
      <w:r w:rsidR="00C31668">
        <w:t>b</w:t>
      </w:r>
      <w:r>
        <w:t xml:space="preserve">liss: Controlling </w:t>
      </w:r>
      <w:r w:rsidR="00C31668">
        <w:t>e</w:t>
      </w:r>
      <w:r>
        <w:t xml:space="preserve">xtraneous </w:t>
      </w:r>
      <w:r w:rsidR="00C31668">
        <w:t>c</w:t>
      </w:r>
      <w:r>
        <w:t xml:space="preserve">ognitive </w:t>
      </w:r>
      <w:r w:rsidR="00C31668">
        <w:t>l</w:t>
      </w:r>
      <w:r>
        <w:t xml:space="preserve">oad in </w:t>
      </w:r>
      <w:r w:rsidR="00C31668">
        <w:t>o</w:t>
      </w:r>
      <w:r>
        <w:t xml:space="preserve">nline </w:t>
      </w:r>
      <w:r w:rsidR="00C31668">
        <w:t>s</w:t>
      </w:r>
      <w:r>
        <w:t xml:space="preserve">ecurity </w:t>
      </w:r>
      <w:r w:rsidR="00C31668">
        <w:t>t</w:t>
      </w:r>
      <w:r>
        <w:t xml:space="preserve">raining to </w:t>
      </w:r>
      <w:r w:rsidR="00C31668">
        <w:t>p</w:t>
      </w:r>
      <w:r>
        <w:t xml:space="preserve">romote </w:t>
      </w:r>
      <w:r w:rsidR="00C31668">
        <w:t>s</w:t>
      </w:r>
      <w:r>
        <w:t xml:space="preserve">ecure </w:t>
      </w:r>
      <w:r w:rsidR="00C31668">
        <w:t>b</w:t>
      </w:r>
      <w:r>
        <w:t>ehavior</w:t>
      </w:r>
    </w:p>
    <w:p w:rsidR="00650475" w:rsidRDefault="00650475" w:rsidP="00650475">
      <w:r>
        <w:t>Jeffrey L. Jenk</w:t>
      </w:r>
      <w:r w:rsidR="00C31668">
        <w:t>ins, University of Arizona, USA</w:t>
      </w:r>
      <w:r w:rsidR="00C31668">
        <w:br/>
      </w:r>
      <w:r>
        <w:t>Alexandra Durciko</w:t>
      </w:r>
      <w:r w:rsidR="00C31668">
        <w:t>va, University of Oklahoma, USA</w:t>
      </w:r>
      <w:r w:rsidR="00C31668">
        <w:br/>
      </w:r>
      <w:r>
        <w:t>Mary B. Burns, Augusta State University, USA</w:t>
      </w:r>
    </w:p>
    <w:p w:rsidR="00650475" w:rsidRDefault="00650475" w:rsidP="00650475"/>
    <w:p w:rsidR="00B4688F" w:rsidRDefault="00B4688F" w:rsidP="00650475">
      <w:r>
        <w:tab/>
        <w:t xml:space="preserve">It is important to train users how to create strong passwords and to take other </w:t>
      </w:r>
      <w:r w:rsidR="009E276E">
        <w:t xml:space="preserve">actions to keep them and the resources they use safe. The question is how to do so. This paper focuses on training users to create strong passwords. In an experiment, subjects were divided into three groups. One had no training in how to create strong passwords. Another had a minimalist presentation in which the rules for creating a strong password were shown on a single slide. The third had a multimedia presentation that provided more detail on each password specification rule. The researchers described the rich presentation as having </w:t>
      </w:r>
      <w:r w:rsidR="0087347F">
        <w:t xml:space="preserve">extraneous information that would interfere with learning the rules for creating strong passwords. Their reasoning had strong theoretical support, and it worked. With no training, subjects had a </w:t>
      </w:r>
      <w:r w:rsidR="0087347F">
        <w:lastRenderedPageBreak/>
        <w:t>password strength score of approximately 3.1 on a 4 point scale. For minimalist training, the score rose to about 3.6, while for the rich presentation with considerable extraneous content, performance fell to about 3.2. The minimalist score was significantly higher than scores in the other two conditions, with a p value less than 0.001.</w:t>
      </w:r>
    </w:p>
    <w:p w:rsidR="00C345D3" w:rsidRDefault="00C345D3" w:rsidP="00C345D3">
      <w:pPr>
        <w:pStyle w:val="Caption"/>
      </w:pPr>
      <w:r>
        <w:t xml:space="preserve">Figure </w:t>
      </w:r>
      <w:fldSimple w:instr=" SEQ Figure \* ARABIC ">
        <w:r w:rsidR="00B35FB9">
          <w:rPr>
            <w:noProof/>
          </w:rPr>
          <w:t>5</w:t>
        </w:r>
      </w:fldSimple>
      <w:r>
        <w:t xml:space="preserve">: The Jenkins, Durcikova, and Burns (2013) </w:t>
      </w:r>
      <w:r w:rsidR="00E12EB2">
        <w:t>p</w:t>
      </w:r>
      <w:r>
        <w:t>aper</w:t>
      </w:r>
    </w:p>
    <w:tbl>
      <w:tblPr>
        <w:tblW w:w="9300" w:type="dxa"/>
        <w:tblInd w:w="93" w:type="dxa"/>
        <w:tblLook w:val="04A0" w:firstRow="1" w:lastRow="0" w:firstColumn="1" w:lastColumn="0" w:noHBand="0" w:noVBand="1"/>
      </w:tblPr>
      <w:tblGrid>
        <w:gridCol w:w="2180"/>
        <w:gridCol w:w="1780"/>
        <w:gridCol w:w="1780"/>
        <w:gridCol w:w="1780"/>
        <w:gridCol w:w="1780"/>
      </w:tblGrid>
      <w:tr w:rsidR="00C345D3" w:rsidRPr="00E12EB2" w:rsidTr="00C345D3">
        <w:trPr>
          <w:trHeight w:val="600"/>
        </w:trPr>
        <w:tc>
          <w:tcPr>
            <w:tcW w:w="2180"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C345D3" w:rsidRPr="00E12EB2" w:rsidRDefault="00C345D3" w:rsidP="00C345D3">
            <w:pPr>
              <w:rPr>
                <w:rFonts w:ascii="Arial" w:eastAsia="Times New Roman" w:hAnsi="Arial" w:cs="Arial"/>
                <w:b/>
                <w:bCs/>
                <w:color w:val="FFFFFF"/>
                <w:sz w:val="16"/>
                <w:szCs w:val="16"/>
              </w:rPr>
            </w:pPr>
            <w:r w:rsidRPr="00E12EB2">
              <w:rPr>
                <w:rFonts w:ascii="Arial" w:eastAsia="Times New Roman" w:hAnsi="Arial" w:cs="Arial"/>
                <w:b/>
                <w:bCs/>
                <w:color w:val="FFFFFF"/>
                <w:sz w:val="16"/>
                <w:szCs w:val="16"/>
              </w:rPr>
              <w:t>Research Category</w:t>
            </w:r>
          </w:p>
        </w:tc>
        <w:tc>
          <w:tcPr>
            <w:tcW w:w="1780" w:type="dxa"/>
            <w:tcBorders>
              <w:top w:val="single" w:sz="4" w:space="0" w:color="auto"/>
              <w:left w:val="nil"/>
              <w:bottom w:val="single" w:sz="4" w:space="0" w:color="auto"/>
              <w:right w:val="single" w:sz="4" w:space="0" w:color="auto"/>
            </w:tcBorders>
            <w:shd w:val="clear" w:color="000000" w:fill="4F81BD"/>
            <w:vAlign w:val="bottom"/>
            <w:hideMark/>
          </w:tcPr>
          <w:p w:rsidR="00C345D3" w:rsidRPr="00E12EB2" w:rsidRDefault="00C345D3" w:rsidP="00C345D3">
            <w:pPr>
              <w:jc w:val="center"/>
              <w:rPr>
                <w:rFonts w:ascii="Arial" w:eastAsia="Times New Roman" w:hAnsi="Arial" w:cs="Arial"/>
                <w:b/>
                <w:bCs/>
                <w:color w:val="FFFFFF"/>
                <w:sz w:val="16"/>
                <w:szCs w:val="16"/>
              </w:rPr>
            </w:pPr>
            <w:r w:rsidRPr="00E12EB2">
              <w:rPr>
                <w:rFonts w:ascii="Arial" w:eastAsia="Times New Roman" w:hAnsi="Arial" w:cs="Arial"/>
                <w:b/>
                <w:bCs/>
                <w:color w:val="FFFFFF"/>
                <w:sz w:val="16"/>
                <w:szCs w:val="16"/>
              </w:rPr>
              <w:t>Exploratory</w:t>
            </w:r>
          </w:p>
        </w:tc>
        <w:tc>
          <w:tcPr>
            <w:tcW w:w="1780" w:type="dxa"/>
            <w:tcBorders>
              <w:top w:val="single" w:sz="4" w:space="0" w:color="auto"/>
              <w:left w:val="nil"/>
              <w:bottom w:val="single" w:sz="4" w:space="0" w:color="auto"/>
              <w:right w:val="single" w:sz="4" w:space="0" w:color="auto"/>
            </w:tcBorders>
            <w:shd w:val="clear" w:color="000000" w:fill="4F81BD"/>
            <w:vAlign w:val="bottom"/>
            <w:hideMark/>
          </w:tcPr>
          <w:p w:rsidR="00C345D3" w:rsidRPr="00E12EB2" w:rsidRDefault="00C345D3" w:rsidP="00C345D3">
            <w:pPr>
              <w:jc w:val="center"/>
              <w:rPr>
                <w:rFonts w:ascii="Arial" w:eastAsia="Times New Roman" w:hAnsi="Arial" w:cs="Arial"/>
                <w:b/>
                <w:bCs/>
                <w:color w:val="FFFFFF"/>
                <w:sz w:val="16"/>
                <w:szCs w:val="16"/>
              </w:rPr>
            </w:pPr>
            <w:r w:rsidRPr="00E12EB2">
              <w:rPr>
                <w:rFonts w:ascii="Arial" w:eastAsia="Times New Roman" w:hAnsi="Arial" w:cs="Arial"/>
                <w:b/>
                <w:bCs/>
                <w:color w:val="FFFFFF"/>
                <w:sz w:val="16"/>
                <w:szCs w:val="16"/>
              </w:rPr>
              <w:t>Theory Building</w:t>
            </w:r>
          </w:p>
        </w:tc>
        <w:tc>
          <w:tcPr>
            <w:tcW w:w="1780" w:type="dxa"/>
            <w:tcBorders>
              <w:top w:val="single" w:sz="4" w:space="0" w:color="auto"/>
              <w:left w:val="nil"/>
              <w:bottom w:val="single" w:sz="4" w:space="0" w:color="auto"/>
              <w:right w:val="single" w:sz="4" w:space="0" w:color="auto"/>
            </w:tcBorders>
            <w:shd w:val="clear" w:color="000000" w:fill="4F81BD"/>
            <w:vAlign w:val="bottom"/>
            <w:hideMark/>
          </w:tcPr>
          <w:p w:rsidR="00C345D3" w:rsidRPr="00E12EB2" w:rsidRDefault="00C345D3" w:rsidP="00C345D3">
            <w:pPr>
              <w:jc w:val="center"/>
              <w:rPr>
                <w:rFonts w:ascii="Arial" w:eastAsia="Times New Roman" w:hAnsi="Arial" w:cs="Arial"/>
                <w:b/>
                <w:bCs/>
                <w:color w:val="FFFFFF"/>
                <w:sz w:val="16"/>
                <w:szCs w:val="16"/>
              </w:rPr>
            </w:pPr>
            <w:r w:rsidRPr="00E12EB2">
              <w:rPr>
                <w:rFonts w:ascii="Arial" w:eastAsia="Times New Roman" w:hAnsi="Arial" w:cs="Arial"/>
                <w:b/>
                <w:bCs/>
                <w:color w:val="FFFFFF"/>
                <w:sz w:val="16"/>
                <w:szCs w:val="16"/>
              </w:rPr>
              <w:t>Theory Testing</w:t>
            </w:r>
          </w:p>
        </w:tc>
        <w:tc>
          <w:tcPr>
            <w:tcW w:w="1780" w:type="dxa"/>
            <w:tcBorders>
              <w:top w:val="single" w:sz="4" w:space="0" w:color="auto"/>
              <w:left w:val="nil"/>
              <w:bottom w:val="single" w:sz="4" w:space="0" w:color="auto"/>
              <w:right w:val="single" w:sz="4" w:space="0" w:color="auto"/>
            </w:tcBorders>
            <w:shd w:val="clear" w:color="000000" w:fill="4F81BD"/>
            <w:vAlign w:val="bottom"/>
            <w:hideMark/>
          </w:tcPr>
          <w:p w:rsidR="00C345D3" w:rsidRPr="00E12EB2" w:rsidRDefault="00665C6C" w:rsidP="00665C6C">
            <w:pPr>
              <w:jc w:val="center"/>
              <w:rPr>
                <w:rFonts w:ascii="Arial" w:eastAsia="Times New Roman" w:hAnsi="Arial" w:cs="Arial"/>
                <w:b/>
                <w:bCs/>
                <w:color w:val="FFFFFF"/>
                <w:sz w:val="16"/>
                <w:szCs w:val="16"/>
              </w:rPr>
            </w:pPr>
            <w:r>
              <w:rPr>
                <w:rFonts w:ascii="Arial" w:eastAsia="Times New Roman" w:hAnsi="Arial" w:cs="Arial"/>
                <w:b/>
                <w:bCs/>
                <w:color w:val="FFFFFF"/>
                <w:sz w:val="16"/>
                <w:szCs w:val="16"/>
              </w:rPr>
              <w:t>Assimilation Research</w:t>
            </w:r>
          </w:p>
        </w:tc>
      </w:tr>
      <w:tr w:rsidR="00C345D3" w:rsidRPr="00E12EB2" w:rsidTr="00C345D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Data Mining</w:t>
            </w:r>
          </w:p>
        </w:tc>
        <w:tc>
          <w:tcPr>
            <w:tcW w:w="1780" w:type="dxa"/>
            <w:tcBorders>
              <w:top w:val="nil"/>
              <w:left w:val="nil"/>
              <w:bottom w:val="single" w:sz="4" w:space="0" w:color="auto"/>
              <w:right w:val="single" w:sz="4" w:space="0" w:color="auto"/>
            </w:tcBorders>
            <w:shd w:val="clear" w:color="auto" w:fill="auto"/>
            <w:vAlign w:val="bottom"/>
            <w:hideMark/>
          </w:tcPr>
          <w:p w:rsidR="00C345D3" w:rsidRPr="00E12EB2" w:rsidRDefault="00C345D3" w:rsidP="00C345D3">
            <w:pPr>
              <w:jc w:val="cente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vAlign w:val="bottom"/>
            <w:hideMark/>
          </w:tcPr>
          <w:p w:rsidR="00C345D3" w:rsidRPr="00E12EB2" w:rsidRDefault="00C345D3" w:rsidP="00C345D3">
            <w:pPr>
              <w:jc w:val="cente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vAlign w:val="bottom"/>
            <w:hideMark/>
          </w:tcPr>
          <w:p w:rsidR="00C345D3" w:rsidRPr="00E12EB2" w:rsidRDefault="00C345D3" w:rsidP="00C345D3">
            <w:pPr>
              <w:jc w:val="cente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vAlign w:val="bottom"/>
            <w:hideMark/>
          </w:tcPr>
          <w:p w:rsidR="00C345D3" w:rsidRPr="00E12EB2" w:rsidRDefault="00C345D3" w:rsidP="00C345D3">
            <w:pPr>
              <w:jc w:val="cente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C345D3" w:rsidRPr="00E12EB2" w:rsidTr="00C345D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Observation</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C345D3" w:rsidRPr="00E12EB2" w:rsidTr="00C345D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Interview</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C345D3" w:rsidRPr="00E12EB2" w:rsidTr="00C345D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Focus Group</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C345D3" w:rsidRPr="00E12EB2" w:rsidTr="00C345D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Case Study</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C345D3" w:rsidRPr="00E12EB2" w:rsidTr="00C345D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Quasi Experiment</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C345D3" w:rsidRPr="00E12EB2" w:rsidTr="00C345D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Experiment</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000000" w:fill="538DD5"/>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000000" w:fill="538DD5"/>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000000" w:fill="C5D9F1"/>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C345D3" w:rsidRPr="00E12EB2" w:rsidTr="00C345D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345D3" w:rsidRPr="00E12EB2" w:rsidRDefault="009859BE" w:rsidP="00C345D3">
            <w:pPr>
              <w:rPr>
                <w:rFonts w:ascii="Arial" w:eastAsia="Times New Roman" w:hAnsi="Arial" w:cs="Arial"/>
                <w:color w:val="000000"/>
                <w:sz w:val="16"/>
                <w:szCs w:val="16"/>
              </w:rPr>
            </w:pPr>
            <w:r>
              <w:rPr>
                <w:rFonts w:ascii="Arial" w:eastAsia="Times New Roman" w:hAnsi="Arial" w:cs="Arial"/>
                <w:color w:val="000000"/>
                <w:sz w:val="16"/>
                <w:szCs w:val="16"/>
              </w:rPr>
              <w:t>Questionnaire</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C345D3" w:rsidRPr="00E12EB2" w:rsidTr="00B35FB9">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Cognitive Research</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000000" w:fill="DCE6F1"/>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000000" w:fill="DCE6F1"/>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DBE5F1" w:themeFill="accent1" w:themeFillTint="33"/>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C345D3" w:rsidRPr="00E12EB2" w:rsidTr="00C345D3">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C345D3" w:rsidRPr="00E12EB2" w:rsidRDefault="009859BE" w:rsidP="00C345D3">
            <w:pPr>
              <w:rPr>
                <w:rFonts w:ascii="Arial" w:eastAsia="Times New Roman" w:hAnsi="Arial" w:cs="Arial"/>
                <w:color w:val="000000"/>
                <w:sz w:val="16"/>
                <w:szCs w:val="16"/>
              </w:rPr>
            </w:pPr>
            <w:r>
              <w:rPr>
                <w:rFonts w:ascii="Arial" w:eastAsia="Times New Roman" w:hAnsi="Arial" w:cs="Arial"/>
                <w:color w:val="000000"/>
                <w:sz w:val="16"/>
                <w:szCs w:val="16"/>
              </w:rPr>
              <w:t>Survey Research</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80" w:type="dxa"/>
            <w:tcBorders>
              <w:top w:val="nil"/>
              <w:left w:val="nil"/>
              <w:bottom w:val="single" w:sz="4" w:space="0" w:color="auto"/>
              <w:right w:val="single" w:sz="4" w:space="0" w:color="auto"/>
            </w:tcBorders>
            <w:shd w:val="clear" w:color="auto" w:fill="auto"/>
            <w:noWrap/>
            <w:vAlign w:val="bottom"/>
            <w:hideMark/>
          </w:tcPr>
          <w:p w:rsidR="00C345D3" w:rsidRPr="00E12EB2" w:rsidRDefault="00C345D3" w:rsidP="00C345D3">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bl>
    <w:p w:rsidR="00C345D3" w:rsidRPr="00E12EB2" w:rsidRDefault="00C345D3" w:rsidP="00C345D3">
      <w:pPr>
        <w:rPr>
          <w:rFonts w:ascii="Arial" w:hAnsi="Arial" w:cs="Arial"/>
          <w:sz w:val="16"/>
          <w:szCs w:val="16"/>
        </w:rPr>
      </w:pPr>
    </w:p>
    <w:p w:rsidR="00650475" w:rsidRDefault="00650475" w:rsidP="00E61BC6">
      <w:pPr>
        <w:pStyle w:val="Heading2"/>
      </w:pPr>
      <w:r>
        <w:t>Involving End Users to Mitigate Risk in IS Development Projects</w:t>
      </w:r>
    </w:p>
    <w:p w:rsidR="00650475" w:rsidRDefault="00650475" w:rsidP="00650475">
      <w:r>
        <w:t>Chintan Amrit, University of Twente, the Netherlands</w:t>
      </w:r>
    </w:p>
    <w:p w:rsidR="00650475" w:rsidRDefault="00650475" w:rsidP="00650475">
      <w:r>
        <w:t>Jos van Hilegersbert, University of Twente, the Netherlands</w:t>
      </w:r>
    </w:p>
    <w:p w:rsidR="00650475" w:rsidRDefault="00650475" w:rsidP="00650475">
      <w:r>
        <w:t>Bart van Diest, Linder N.V, the Netherlands</w:t>
      </w:r>
    </w:p>
    <w:p w:rsidR="00650475" w:rsidRPr="00E06B41" w:rsidRDefault="00650475" w:rsidP="00650475"/>
    <w:p w:rsidR="008801BF" w:rsidRDefault="0026254D" w:rsidP="008801BF">
      <w:r>
        <w:tab/>
      </w:r>
      <w:r w:rsidR="00B5696B">
        <w:t xml:space="preserve">In the most traditional study in this special issue, the researchers focused on how effective user participation was in addressing various project risks. The research team surveyed engagement managers at </w:t>
      </w:r>
      <w:proofErr w:type="spellStart"/>
      <w:r w:rsidR="00B5696B">
        <w:t>Capgemini</w:t>
      </w:r>
      <w:proofErr w:type="spellEnd"/>
      <w:r w:rsidR="00B5696B">
        <w:t xml:space="preserve">, a consulting company in the Netherlands. Of the 50 engagement managers at Levels 1, 2, and 3, </w:t>
      </w:r>
      <w:r w:rsidR="009859BE">
        <w:t>twenty eight</w:t>
      </w:r>
      <w:r w:rsidR="00B5696B">
        <w:t xml:space="preserve"> responded. </w:t>
      </w:r>
      <w:r w:rsidR="00EB7EFE">
        <w:t xml:space="preserve">From in-depth interviews, a taxonomy of participation modes </w:t>
      </w:r>
      <w:proofErr w:type="gramStart"/>
      <w:r w:rsidR="00EB7EFE">
        <w:t>was created</w:t>
      </w:r>
      <w:proofErr w:type="gramEnd"/>
      <w:r w:rsidR="00EB7EFE">
        <w:t>. In addition,</w:t>
      </w:r>
      <w:r w:rsidR="00B5696B">
        <w:t xml:space="preserve"> each manager was asked to select two engagements—one successful and the other unsuccessful. The participants rated the degree to which they were able to mitigate 5 key risks with user participation. The risks were </w:t>
      </w:r>
      <w:r w:rsidR="00B5696B">
        <w:lastRenderedPageBreak/>
        <w:t>technical complexity, organizational complexity, project size, overambitious demands, and unstable/incomplete requirements.</w:t>
      </w:r>
    </w:p>
    <w:p w:rsidR="008801BF" w:rsidRDefault="00B35FB9" w:rsidP="00B35FB9">
      <w:pPr>
        <w:pStyle w:val="Caption"/>
      </w:pPr>
      <w:r>
        <w:t xml:space="preserve">Figure </w:t>
      </w:r>
      <w:fldSimple w:instr=" SEQ Figure \* ARABIC ">
        <w:r>
          <w:rPr>
            <w:noProof/>
          </w:rPr>
          <w:t>6</w:t>
        </w:r>
      </w:fldSimple>
      <w:r>
        <w:t xml:space="preserve">: The </w:t>
      </w:r>
      <w:r w:rsidRPr="00573D87">
        <w:t>Amrit, van Hilegersbert, and van Diest</w:t>
      </w:r>
      <w:r>
        <w:t xml:space="preserve"> (2013) </w:t>
      </w:r>
      <w:r w:rsidR="00E12EB2">
        <w:t>p</w:t>
      </w:r>
      <w:r>
        <w:t>aper</w:t>
      </w:r>
    </w:p>
    <w:tbl>
      <w:tblPr>
        <w:tblW w:w="9220" w:type="dxa"/>
        <w:tblInd w:w="93" w:type="dxa"/>
        <w:tblLook w:val="04A0" w:firstRow="1" w:lastRow="0" w:firstColumn="1" w:lastColumn="0" w:noHBand="0" w:noVBand="1"/>
      </w:tblPr>
      <w:tblGrid>
        <w:gridCol w:w="2260"/>
        <w:gridCol w:w="1740"/>
        <w:gridCol w:w="1740"/>
        <w:gridCol w:w="1740"/>
        <w:gridCol w:w="1740"/>
      </w:tblGrid>
      <w:tr w:rsidR="00B35FB9" w:rsidRPr="00B35FB9" w:rsidTr="00B35FB9">
        <w:trPr>
          <w:trHeight w:val="600"/>
        </w:trPr>
        <w:tc>
          <w:tcPr>
            <w:tcW w:w="2260"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B35FB9" w:rsidRPr="00E12EB2" w:rsidRDefault="00B35FB9" w:rsidP="00B35FB9">
            <w:pPr>
              <w:rPr>
                <w:rFonts w:ascii="Arial" w:eastAsia="Times New Roman" w:hAnsi="Arial" w:cs="Arial"/>
                <w:b/>
                <w:bCs/>
                <w:color w:val="FFFFFF"/>
                <w:sz w:val="16"/>
                <w:szCs w:val="16"/>
              </w:rPr>
            </w:pPr>
            <w:r w:rsidRPr="00E12EB2">
              <w:rPr>
                <w:rFonts w:ascii="Arial" w:eastAsia="Times New Roman" w:hAnsi="Arial" w:cs="Arial"/>
                <w:b/>
                <w:bCs/>
                <w:color w:val="FFFFFF"/>
                <w:sz w:val="16"/>
                <w:szCs w:val="16"/>
              </w:rPr>
              <w:t>Research Category</w:t>
            </w:r>
          </w:p>
        </w:tc>
        <w:tc>
          <w:tcPr>
            <w:tcW w:w="1740" w:type="dxa"/>
            <w:tcBorders>
              <w:top w:val="single" w:sz="4" w:space="0" w:color="auto"/>
              <w:left w:val="nil"/>
              <w:bottom w:val="single" w:sz="4" w:space="0" w:color="auto"/>
              <w:right w:val="single" w:sz="4" w:space="0" w:color="auto"/>
            </w:tcBorders>
            <w:shd w:val="clear" w:color="000000" w:fill="4F81BD"/>
            <w:vAlign w:val="bottom"/>
            <w:hideMark/>
          </w:tcPr>
          <w:p w:rsidR="00B35FB9" w:rsidRPr="00E12EB2" w:rsidRDefault="00B35FB9" w:rsidP="00B35FB9">
            <w:pPr>
              <w:jc w:val="center"/>
              <w:rPr>
                <w:rFonts w:ascii="Arial" w:eastAsia="Times New Roman" w:hAnsi="Arial" w:cs="Arial"/>
                <w:b/>
                <w:bCs/>
                <w:color w:val="FFFFFF"/>
                <w:sz w:val="16"/>
                <w:szCs w:val="16"/>
              </w:rPr>
            </w:pPr>
            <w:r w:rsidRPr="00E12EB2">
              <w:rPr>
                <w:rFonts w:ascii="Arial" w:eastAsia="Times New Roman" w:hAnsi="Arial" w:cs="Arial"/>
                <w:b/>
                <w:bCs/>
                <w:color w:val="FFFFFF"/>
                <w:sz w:val="16"/>
                <w:szCs w:val="16"/>
              </w:rPr>
              <w:t>Exploratory</w:t>
            </w:r>
          </w:p>
        </w:tc>
        <w:tc>
          <w:tcPr>
            <w:tcW w:w="1740" w:type="dxa"/>
            <w:tcBorders>
              <w:top w:val="single" w:sz="4" w:space="0" w:color="auto"/>
              <w:left w:val="nil"/>
              <w:bottom w:val="single" w:sz="4" w:space="0" w:color="auto"/>
              <w:right w:val="single" w:sz="4" w:space="0" w:color="auto"/>
            </w:tcBorders>
            <w:shd w:val="clear" w:color="000000" w:fill="4F81BD"/>
            <w:vAlign w:val="bottom"/>
            <w:hideMark/>
          </w:tcPr>
          <w:p w:rsidR="00B35FB9" w:rsidRPr="00E12EB2" w:rsidRDefault="00B35FB9" w:rsidP="00B35FB9">
            <w:pPr>
              <w:jc w:val="center"/>
              <w:rPr>
                <w:rFonts w:ascii="Arial" w:eastAsia="Times New Roman" w:hAnsi="Arial" w:cs="Arial"/>
                <w:b/>
                <w:bCs/>
                <w:color w:val="FFFFFF"/>
                <w:sz w:val="16"/>
                <w:szCs w:val="16"/>
              </w:rPr>
            </w:pPr>
            <w:r w:rsidRPr="00E12EB2">
              <w:rPr>
                <w:rFonts w:ascii="Arial" w:eastAsia="Times New Roman" w:hAnsi="Arial" w:cs="Arial"/>
                <w:b/>
                <w:bCs/>
                <w:color w:val="FFFFFF"/>
                <w:sz w:val="16"/>
                <w:szCs w:val="16"/>
              </w:rPr>
              <w:t>Theory Building</w:t>
            </w:r>
          </w:p>
        </w:tc>
        <w:tc>
          <w:tcPr>
            <w:tcW w:w="1740" w:type="dxa"/>
            <w:tcBorders>
              <w:top w:val="single" w:sz="4" w:space="0" w:color="auto"/>
              <w:left w:val="nil"/>
              <w:bottom w:val="single" w:sz="4" w:space="0" w:color="auto"/>
              <w:right w:val="single" w:sz="4" w:space="0" w:color="auto"/>
            </w:tcBorders>
            <w:shd w:val="clear" w:color="000000" w:fill="4F81BD"/>
            <w:vAlign w:val="bottom"/>
            <w:hideMark/>
          </w:tcPr>
          <w:p w:rsidR="00B35FB9" w:rsidRPr="00E12EB2" w:rsidRDefault="00B35FB9" w:rsidP="00B35FB9">
            <w:pPr>
              <w:jc w:val="center"/>
              <w:rPr>
                <w:rFonts w:ascii="Arial" w:eastAsia="Times New Roman" w:hAnsi="Arial" w:cs="Arial"/>
                <w:b/>
                <w:bCs/>
                <w:color w:val="FFFFFF"/>
                <w:sz w:val="16"/>
                <w:szCs w:val="16"/>
              </w:rPr>
            </w:pPr>
            <w:r w:rsidRPr="00E12EB2">
              <w:rPr>
                <w:rFonts w:ascii="Arial" w:eastAsia="Times New Roman" w:hAnsi="Arial" w:cs="Arial"/>
                <w:b/>
                <w:bCs/>
                <w:color w:val="FFFFFF"/>
                <w:sz w:val="16"/>
                <w:szCs w:val="16"/>
              </w:rPr>
              <w:t>Theory Testing</w:t>
            </w:r>
          </w:p>
        </w:tc>
        <w:tc>
          <w:tcPr>
            <w:tcW w:w="1740" w:type="dxa"/>
            <w:tcBorders>
              <w:top w:val="single" w:sz="4" w:space="0" w:color="auto"/>
              <w:left w:val="nil"/>
              <w:bottom w:val="single" w:sz="4" w:space="0" w:color="auto"/>
              <w:right w:val="single" w:sz="4" w:space="0" w:color="auto"/>
            </w:tcBorders>
            <w:shd w:val="clear" w:color="000000" w:fill="4F81BD"/>
            <w:vAlign w:val="bottom"/>
            <w:hideMark/>
          </w:tcPr>
          <w:p w:rsidR="00B35FB9" w:rsidRPr="00E12EB2" w:rsidRDefault="00665C6C" w:rsidP="00B35FB9">
            <w:pPr>
              <w:jc w:val="center"/>
              <w:rPr>
                <w:rFonts w:ascii="Arial" w:eastAsia="Times New Roman" w:hAnsi="Arial" w:cs="Arial"/>
                <w:b/>
                <w:bCs/>
                <w:color w:val="FFFFFF"/>
                <w:sz w:val="16"/>
                <w:szCs w:val="16"/>
              </w:rPr>
            </w:pPr>
            <w:r>
              <w:rPr>
                <w:rFonts w:ascii="Arial" w:eastAsia="Times New Roman" w:hAnsi="Arial" w:cs="Arial"/>
                <w:b/>
                <w:bCs/>
                <w:color w:val="FFFFFF"/>
                <w:sz w:val="16"/>
                <w:szCs w:val="16"/>
              </w:rPr>
              <w:t>Assimilation Research</w:t>
            </w:r>
          </w:p>
        </w:tc>
      </w:tr>
      <w:tr w:rsidR="00B35FB9" w:rsidRPr="00B35FB9" w:rsidTr="00B35FB9">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Data Mining</w:t>
            </w:r>
          </w:p>
        </w:tc>
        <w:tc>
          <w:tcPr>
            <w:tcW w:w="1740" w:type="dxa"/>
            <w:tcBorders>
              <w:top w:val="nil"/>
              <w:left w:val="nil"/>
              <w:bottom w:val="single" w:sz="4" w:space="0" w:color="auto"/>
              <w:right w:val="single" w:sz="4" w:space="0" w:color="auto"/>
            </w:tcBorders>
            <w:shd w:val="clear" w:color="auto" w:fill="auto"/>
            <w:vAlign w:val="bottom"/>
            <w:hideMark/>
          </w:tcPr>
          <w:p w:rsidR="00B35FB9" w:rsidRPr="00E12EB2" w:rsidRDefault="00B35FB9" w:rsidP="00E12EB2">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vAlign w:val="bottom"/>
            <w:hideMark/>
          </w:tcPr>
          <w:p w:rsidR="00B35FB9" w:rsidRPr="00E12EB2" w:rsidRDefault="00B35FB9" w:rsidP="00E12EB2">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vAlign w:val="bottom"/>
            <w:hideMark/>
          </w:tcPr>
          <w:p w:rsidR="00B35FB9" w:rsidRPr="00E12EB2" w:rsidRDefault="00B35FB9" w:rsidP="00E12EB2">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vAlign w:val="bottom"/>
            <w:hideMark/>
          </w:tcPr>
          <w:p w:rsidR="00B35FB9" w:rsidRPr="00E12EB2" w:rsidRDefault="00B35FB9" w:rsidP="00E12EB2">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B35FB9" w:rsidRPr="00B35FB9" w:rsidTr="00B35FB9">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Observation</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B35FB9" w:rsidRPr="00B35FB9" w:rsidTr="00B35FB9">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Interview</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B35FB9" w:rsidRPr="00B35FB9" w:rsidTr="00B35FB9">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Focus Group</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B35FB9" w:rsidRPr="00B35FB9" w:rsidTr="00B35FB9">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Case Study</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B35FB9" w:rsidRPr="00B35FB9" w:rsidTr="00B35FB9">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Quasi Experiment</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B35FB9" w:rsidRPr="00B35FB9" w:rsidTr="00B35FB9">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Experiment</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B35FB9" w:rsidRPr="00B35FB9" w:rsidTr="00B35FB9">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35FB9" w:rsidRPr="00E12EB2" w:rsidRDefault="00B83954" w:rsidP="00B35FB9">
            <w:pPr>
              <w:rPr>
                <w:rFonts w:ascii="Arial" w:eastAsia="Times New Roman" w:hAnsi="Arial" w:cs="Arial"/>
                <w:color w:val="000000"/>
                <w:sz w:val="16"/>
                <w:szCs w:val="16"/>
              </w:rPr>
            </w:pPr>
            <w:r>
              <w:rPr>
                <w:rFonts w:ascii="Arial" w:eastAsia="Times New Roman" w:hAnsi="Arial" w:cs="Arial"/>
                <w:color w:val="000000"/>
                <w:sz w:val="16"/>
                <w:szCs w:val="16"/>
              </w:rPr>
              <w:t>Questionnaire</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000000" w:fill="538DD5"/>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B35FB9" w:rsidRPr="00B35FB9" w:rsidTr="00B35FB9">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35FB9" w:rsidRPr="00E12EB2" w:rsidRDefault="00B35FB9" w:rsidP="00B83954">
            <w:pPr>
              <w:rPr>
                <w:rFonts w:ascii="Arial" w:eastAsia="Times New Roman" w:hAnsi="Arial" w:cs="Arial"/>
                <w:color w:val="000000"/>
                <w:sz w:val="16"/>
                <w:szCs w:val="16"/>
              </w:rPr>
            </w:pPr>
            <w:r w:rsidRPr="00E12EB2">
              <w:rPr>
                <w:rFonts w:ascii="Arial" w:eastAsia="Times New Roman" w:hAnsi="Arial" w:cs="Arial"/>
                <w:color w:val="000000"/>
                <w:sz w:val="16"/>
                <w:szCs w:val="16"/>
              </w:rPr>
              <w:t xml:space="preserve">Cognitive </w:t>
            </w:r>
            <w:r w:rsidR="00B83954">
              <w:rPr>
                <w:rFonts w:ascii="Arial" w:eastAsia="Times New Roman" w:hAnsi="Arial" w:cs="Arial"/>
                <w:color w:val="000000"/>
                <w:sz w:val="16"/>
                <w:szCs w:val="16"/>
              </w:rPr>
              <w:t>Science</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r w:rsidR="00B35FB9" w:rsidRPr="00B35FB9" w:rsidTr="00B35FB9">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35FB9" w:rsidRPr="00E12EB2" w:rsidRDefault="005F2764" w:rsidP="00B35FB9">
            <w:pPr>
              <w:rPr>
                <w:rFonts w:ascii="Arial" w:eastAsia="Times New Roman" w:hAnsi="Arial" w:cs="Arial"/>
                <w:color w:val="000000"/>
                <w:sz w:val="16"/>
                <w:szCs w:val="16"/>
              </w:rPr>
            </w:pPr>
            <w:r>
              <w:rPr>
                <w:rFonts w:ascii="Arial" w:eastAsia="Times New Roman" w:hAnsi="Arial" w:cs="Arial"/>
                <w:color w:val="000000"/>
                <w:sz w:val="16"/>
                <w:szCs w:val="16"/>
              </w:rPr>
              <w:t>Survey Research</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c>
          <w:tcPr>
            <w:tcW w:w="1740" w:type="dxa"/>
            <w:tcBorders>
              <w:top w:val="nil"/>
              <w:left w:val="nil"/>
              <w:bottom w:val="single" w:sz="4" w:space="0" w:color="auto"/>
              <w:right w:val="single" w:sz="4" w:space="0" w:color="auto"/>
            </w:tcBorders>
            <w:shd w:val="clear" w:color="auto" w:fill="auto"/>
            <w:noWrap/>
            <w:vAlign w:val="bottom"/>
            <w:hideMark/>
          </w:tcPr>
          <w:p w:rsidR="00B35FB9" w:rsidRPr="00E12EB2" w:rsidRDefault="00B35FB9" w:rsidP="00B35FB9">
            <w:pPr>
              <w:rPr>
                <w:rFonts w:ascii="Arial" w:eastAsia="Times New Roman" w:hAnsi="Arial" w:cs="Arial"/>
                <w:color w:val="000000"/>
                <w:sz w:val="16"/>
                <w:szCs w:val="16"/>
              </w:rPr>
            </w:pPr>
            <w:r w:rsidRPr="00E12EB2">
              <w:rPr>
                <w:rFonts w:ascii="Arial" w:eastAsia="Times New Roman" w:hAnsi="Arial" w:cs="Arial"/>
                <w:color w:val="000000"/>
                <w:sz w:val="16"/>
                <w:szCs w:val="16"/>
              </w:rPr>
              <w:t> </w:t>
            </w:r>
          </w:p>
        </w:tc>
      </w:tr>
    </w:tbl>
    <w:p w:rsidR="000B5472" w:rsidRDefault="000B5472" w:rsidP="000B5472">
      <w:pPr>
        <w:pStyle w:val="Heading1"/>
      </w:pPr>
      <w:r>
        <w:t>References</w:t>
      </w:r>
    </w:p>
    <w:p w:rsidR="005F2764" w:rsidRDefault="005F2764" w:rsidP="000B5472">
      <w:pPr>
        <w:pStyle w:val="Reference"/>
      </w:pPr>
      <w:r>
        <w:t xml:space="preserve">Amrit, Chintan; van Hilegersbert Jos; van Diest Bart. (2003). Involving end users to mitigate risk in IS development projects, </w:t>
      </w:r>
      <w:r w:rsidRPr="000B5472">
        <w:rPr>
          <w:i/>
        </w:rPr>
        <w:t>Journal of Organizational and End User Computing</w:t>
      </w:r>
      <w:r>
        <w:t>, to be published.</w:t>
      </w:r>
    </w:p>
    <w:p w:rsidR="005F2764" w:rsidRDefault="005F2764" w:rsidP="000B5472">
      <w:pPr>
        <w:pStyle w:val="Reference"/>
      </w:pPr>
      <w:r>
        <w:t xml:space="preserve">Aurigemma, Salvatore. (2013). A composite framework for behavioral compliance with information security policies, </w:t>
      </w:r>
      <w:r w:rsidRPr="000B5472">
        <w:rPr>
          <w:i/>
        </w:rPr>
        <w:t>Journal of Organizational and End User Computing</w:t>
      </w:r>
      <w:r>
        <w:t>, to be published.</w:t>
      </w:r>
    </w:p>
    <w:p w:rsidR="005F2764" w:rsidRPr="00B35FB9" w:rsidRDefault="005F2764" w:rsidP="000B5472">
      <w:pPr>
        <w:pStyle w:val="Reference"/>
      </w:pPr>
      <w:proofErr w:type="spellStart"/>
      <w:r>
        <w:t>Eichele</w:t>
      </w:r>
      <w:proofErr w:type="spellEnd"/>
      <w:r>
        <w:t xml:space="preserve">, Tom; </w:t>
      </w:r>
      <w:proofErr w:type="spellStart"/>
      <w:r>
        <w:t>Debener</w:t>
      </w:r>
      <w:proofErr w:type="spellEnd"/>
      <w:r>
        <w:t xml:space="preserve">, Stefan; Calhoun, Vince D.; </w:t>
      </w:r>
      <w:proofErr w:type="spellStart"/>
      <w:r>
        <w:t>Specht</w:t>
      </w:r>
      <w:proofErr w:type="spellEnd"/>
      <w:r>
        <w:t xml:space="preserve">, </w:t>
      </w:r>
      <w:proofErr w:type="spellStart"/>
      <w:r>
        <w:t>Karsten</w:t>
      </w:r>
      <w:proofErr w:type="spellEnd"/>
      <w:r>
        <w:t xml:space="preserve">; Engel, Andreas K.; </w:t>
      </w:r>
      <w:proofErr w:type="spellStart"/>
      <w:r>
        <w:t>Hugdahl</w:t>
      </w:r>
      <w:proofErr w:type="spellEnd"/>
      <w:r>
        <w:t xml:space="preserve">, Kenneth; von </w:t>
      </w:r>
      <w:proofErr w:type="spellStart"/>
      <w:r>
        <w:t>Cramon</w:t>
      </w:r>
      <w:proofErr w:type="spellEnd"/>
      <w:r>
        <w:t xml:space="preserve">, Yves; and </w:t>
      </w:r>
      <w:proofErr w:type="spellStart"/>
      <w:r>
        <w:t>Ullsperger</w:t>
      </w:r>
      <w:proofErr w:type="spellEnd"/>
      <w:r>
        <w:t xml:space="preserve">, Markus. (2008, April 21). Prediction of human errors by maladaptive changes in event-related brain networks, </w:t>
      </w:r>
      <w:r w:rsidRPr="008935A2">
        <w:rPr>
          <w:i/>
        </w:rPr>
        <w:t>Proceedings of the National Academy of Science</w:t>
      </w:r>
      <w:r>
        <w:t>, 105(16), 6173-6178.</w:t>
      </w:r>
    </w:p>
    <w:p w:rsidR="005F2764" w:rsidRDefault="005F2764" w:rsidP="000B5472">
      <w:pPr>
        <w:pStyle w:val="Reference"/>
      </w:pPr>
      <w:r>
        <w:t xml:space="preserve">Jenkins, Jeffrey L.; </w:t>
      </w:r>
      <w:proofErr w:type="gramStart"/>
      <w:r>
        <w:t>Durcikova ,Alexandra</w:t>
      </w:r>
      <w:proofErr w:type="gramEnd"/>
      <w:r>
        <w:t xml:space="preserve">; and Burns, Mary B. (2013). Simplicity is bliss: Controlling extraneous cognitive load in online security training to promote secure behavior, </w:t>
      </w:r>
      <w:r w:rsidRPr="000B5472">
        <w:rPr>
          <w:i/>
        </w:rPr>
        <w:t>Journal of Organizational and End User Computing</w:t>
      </w:r>
      <w:r>
        <w:t>, to be published.</w:t>
      </w:r>
    </w:p>
    <w:p w:rsidR="005F2764" w:rsidRDefault="005F2764" w:rsidP="000B5472">
      <w:pPr>
        <w:pStyle w:val="Reference"/>
      </w:pPr>
      <w:r>
        <w:t>Panko, Raymond R. and Port, Daniel N. (2013). End user computing: The dark m</w:t>
      </w:r>
      <w:r w:rsidRPr="000B5472">
        <w:t xml:space="preserve">atter (and </w:t>
      </w:r>
      <w:r>
        <w:t>d</w:t>
      </w:r>
      <w:r w:rsidRPr="000B5472">
        <w:t xml:space="preserve">ark </w:t>
      </w:r>
      <w:r>
        <w:t>e</w:t>
      </w:r>
      <w:r w:rsidRPr="000B5472">
        <w:t xml:space="preserve">nergy) of </w:t>
      </w:r>
      <w:r>
        <w:t>c</w:t>
      </w:r>
      <w:r w:rsidRPr="000B5472">
        <w:t>orporate IT,</w:t>
      </w:r>
      <w:r w:rsidRPr="000B5472">
        <w:rPr>
          <w:i/>
        </w:rPr>
        <w:t xml:space="preserve"> Journal of Organizational and End User Computing</w:t>
      </w:r>
      <w:r>
        <w:t>, to be published.</w:t>
      </w:r>
    </w:p>
    <w:p w:rsidR="005F2764" w:rsidRDefault="005F2764" w:rsidP="000B5472">
      <w:pPr>
        <w:pStyle w:val="Reference"/>
      </w:pPr>
      <w:r>
        <w:lastRenderedPageBreak/>
        <w:t xml:space="preserve">Thorne, Simon. (2013). The misuse of spreadsheets in the nuclear fuel industry: The falsification of safety critical data using spreadsheets at British Nuclear Fuels Limited (BNFL), </w:t>
      </w:r>
      <w:r w:rsidRPr="000B5472">
        <w:rPr>
          <w:i/>
        </w:rPr>
        <w:t>Journal of Organizational and End User Computing</w:t>
      </w:r>
      <w:r>
        <w:t>, to be published.</w:t>
      </w:r>
    </w:p>
    <w:sectPr w:rsidR="005F2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6C6A"/>
    <w:multiLevelType w:val="hybridMultilevel"/>
    <w:tmpl w:val="D0BAE9CC"/>
    <w:lvl w:ilvl="0" w:tplc="69FA057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0A"/>
    <w:rsid w:val="000610F1"/>
    <w:rsid w:val="0007187C"/>
    <w:rsid w:val="000B47F5"/>
    <w:rsid w:val="000B4C6A"/>
    <w:rsid w:val="000B5472"/>
    <w:rsid w:val="00122D52"/>
    <w:rsid w:val="0014549D"/>
    <w:rsid w:val="00172B16"/>
    <w:rsid w:val="001D4E37"/>
    <w:rsid w:val="001F5955"/>
    <w:rsid w:val="0026254D"/>
    <w:rsid w:val="002947A3"/>
    <w:rsid w:val="002E0747"/>
    <w:rsid w:val="003C3DC4"/>
    <w:rsid w:val="00426B31"/>
    <w:rsid w:val="00432E68"/>
    <w:rsid w:val="00441572"/>
    <w:rsid w:val="004B5CF1"/>
    <w:rsid w:val="0050358A"/>
    <w:rsid w:val="00537F70"/>
    <w:rsid w:val="005D51D7"/>
    <w:rsid w:val="005F2764"/>
    <w:rsid w:val="00650475"/>
    <w:rsid w:val="00665C6C"/>
    <w:rsid w:val="0069191F"/>
    <w:rsid w:val="007B6D0A"/>
    <w:rsid w:val="007C35AF"/>
    <w:rsid w:val="007D1730"/>
    <w:rsid w:val="00844C77"/>
    <w:rsid w:val="0087347F"/>
    <w:rsid w:val="008801BF"/>
    <w:rsid w:val="008935A2"/>
    <w:rsid w:val="0092292C"/>
    <w:rsid w:val="009859BE"/>
    <w:rsid w:val="009D3C02"/>
    <w:rsid w:val="009E276E"/>
    <w:rsid w:val="00A16A71"/>
    <w:rsid w:val="00AE3385"/>
    <w:rsid w:val="00B35FB9"/>
    <w:rsid w:val="00B45F79"/>
    <w:rsid w:val="00B4688F"/>
    <w:rsid w:val="00B5696B"/>
    <w:rsid w:val="00B83954"/>
    <w:rsid w:val="00BA6724"/>
    <w:rsid w:val="00C04667"/>
    <w:rsid w:val="00C31668"/>
    <w:rsid w:val="00C345D3"/>
    <w:rsid w:val="00CC630A"/>
    <w:rsid w:val="00D85C9C"/>
    <w:rsid w:val="00E12EB2"/>
    <w:rsid w:val="00E247A9"/>
    <w:rsid w:val="00E45F57"/>
    <w:rsid w:val="00E61BC6"/>
    <w:rsid w:val="00EB7EFE"/>
    <w:rsid w:val="00F10ADC"/>
    <w:rsid w:val="00FC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AFB38-9E5B-4117-87C9-F1FDBBAF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7C"/>
    <w:pPr>
      <w:spacing w:before="120" w:after="120"/>
    </w:pPr>
    <w:rPr>
      <w:rFonts w:ascii="Calibri" w:hAnsi="Calibri"/>
      <w:sz w:val="24"/>
    </w:rPr>
  </w:style>
  <w:style w:type="paragraph" w:styleId="Heading1">
    <w:name w:val="heading 1"/>
    <w:basedOn w:val="Normal"/>
    <w:next w:val="Normal"/>
    <w:link w:val="Heading1Char"/>
    <w:uiPriority w:val="9"/>
    <w:qFormat/>
    <w:rsid w:val="000610F1"/>
    <w:pPr>
      <w:keepNext/>
      <w:keepLines/>
      <w:spacing w:before="36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610F1"/>
    <w:pPr>
      <w:keepNext/>
      <w:keepLines/>
      <w:spacing w:before="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1BC6"/>
    <w:pPr>
      <w:spacing w:before="240"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E61BC6"/>
    <w:rPr>
      <w:rFonts w:ascii="Times New Roman" w:eastAsiaTheme="majorEastAsia" w:hAnsi="Times New Roman" w:cstheme="majorBidi"/>
      <w:b/>
      <w:spacing w:val="5"/>
      <w:kern w:val="28"/>
      <w:sz w:val="28"/>
      <w:szCs w:val="52"/>
    </w:rPr>
  </w:style>
  <w:style w:type="character" w:customStyle="1" w:styleId="Heading1Char">
    <w:name w:val="Heading 1 Char"/>
    <w:basedOn w:val="DefaultParagraphFont"/>
    <w:link w:val="Heading1"/>
    <w:uiPriority w:val="9"/>
    <w:rsid w:val="000610F1"/>
    <w:rPr>
      <w:rFonts w:ascii="Calibri" w:eastAsiaTheme="majorEastAsia" w:hAnsi="Calibri" w:cstheme="majorBidi"/>
      <w:b/>
      <w:bCs/>
      <w:sz w:val="24"/>
      <w:szCs w:val="28"/>
    </w:rPr>
  </w:style>
  <w:style w:type="paragraph" w:styleId="Caption">
    <w:name w:val="caption"/>
    <w:basedOn w:val="Normal"/>
    <w:next w:val="Normal"/>
    <w:uiPriority w:val="35"/>
    <w:unhideWhenUsed/>
    <w:qFormat/>
    <w:rsid w:val="0069191F"/>
    <w:pPr>
      <w:spacing w:before="240"/>
    </w:pPr>
    <w:rPr>
      <w:rFonts w:ascii="Arial" w:hAnsi="Arial"/>
      <w:b/>
      <w:bCs/>
      <w:sz w:val="18"/>
      <w:szCs w:val="18"/>
    </w:rPr>
  </w:style>
  <w:style w:type="paragraph" w:styleId="ListParagraph">
    <w:name w:val="List Paragraph"/>
    <w:basedOn w:val="Normal"/>
    <w:uiPriority w:val="34"/>
    <w:qFormat/>
    <w:rsid w:val="002947A3"/>
    <w:pPr>
      <w:numPr>
        <w:numId w:val="1"/>
      </w:numPr>
      <w:ind w:left="720"/>
    </w:pPr>
  </w:style>
  <w:style w:type="character" w:customStyle="1" w:styleId="Heading2Char">
    <w:name w:val="Heading 2 Char"/>
    <w:basedOn w:val="DefaultParagraphFont"/>
    <w:link w:val="Heading2"/>
    <w:uiPriority w:val="9"/>
    <w:rsid w:val="000610F1"/>
    <w:rPr>
      <w:rFonts w:ascii="Calibri" w:eastAsiaTheme="majorEastAsia" w:hAnsi="Calibri" w:cstheme="majorBidi"/>
      <w:b/>
      <w:bCs/>
      <w:sz w:val="24"/>
      <w:szCs w:val="26"/>
    </w:rPr>
  </w:style>
  <w:style w:type="paragraph" w:customStyle="1" w:styleId="Reference">
    <w:name w:val="Reference"/>
    <w:basedOn w:val="Normal"/>
    <w:qFormat/>
    <w:rsid w:val="000B5472"/>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10938">
      <w:bodyDiv w:val="1"/>
      <w:marLeft w:val="0"/>
      <w:marRight w:val="0"/>
      <w:marTop w:val="0"/>
      <w:marBottom w:val="0"/>
      <w:divBdr>
        <w:top w:val="none" w:sz="0" w:space="0" w:color="auto"/>
        <w:left w:val="none" w:sz="0" w:space="0" w:color="auto"/>
        <w:bottom w:val="none" w:sz="0" w:space="0" w:color="auto"/>
        <w:right w:val="none" w:sz="0" w:space="0" w:color="auto"/>
      </w:divBdr>
    </w:div>
    <w:div w:id="1051810978">
      <w:bodyDiv w:val="1"/>
      <w:marLeft w:val="0"/>
      <w:marRight w:val="0"/>
      <w:marTop w:val="0"/>
      <w:marBottom w:val="0"/>
      <w:divBdr>
        <w:top w:val="none" w:sz="0" w:space="0" w:color="auto"/>
        <w:left w:val="none" w:sz="0" w:space="0" w:color="auto"/>
        <w:bottom w:val="none" w:sz="0" w:space="0" w:color="auto"/>
        <w:right w:val="none" w:sz="0" w:space="0" w:color="auto"/>
      </w:divBdr>
    </w:div>
    <w:div w:id="1065179901">
      <w:bodyDiv w:val="1"/>
      <w:marLeft w:val="0"/>
      <w:marRight w:val="0"/>
      <w:marTop w:val="0"/>
      <w:marBottom w:val="0"/>
      <w:divBdr>
        <w:top w:val="none" w:sz="0" w:space="0" w:color="auto"/>
        <w:left w:val="none" w:sz="0" w:space="0" w:color="auto"/>
        <w:bottom w:val="none" w:sz="0" w:space="0" w:color="auto"/>
        <w:right w:val="none" w:sz="0" w:space="0" w:color="auto"/>
      </w:divBdr>
    </w:div>
    <w:div w:id="1585407417">
      <w:bodyDiv w:val="1"/>
      <w:marLeft w:val="0"/>
      <w:marRight w:val="0"/>
      <w:marTop w:val="0"/>
      <w:marBottom w:val="0"/>
      <w:divBdr>
        <w:top w:val="none" w:sz="0" w:space="0" w:color="auto"/>
        <w:left w:val="none" w:sz="0" w:space="0" w:color="auto"/>
        <w:bottom w:val="none" w:sz="0" w:space="0" w:color="auto"/>
        <w:right w:val="none" w:sz="0" w:space="0" w:color="auto"/>
      </w:divBdr>
    </w:div>
    <w:div w:id="1622106039">
      <w:bodyDiv w:val="1"/>
      <w:marLeft w:val="0"/>
      <w:marRight w:val="0"/>
      <w:marTop w:val="0"/>
      <w:marBottom w:val="0"/>
      <w:divBdr>
        <w:top w:val="none" w:sz="0" w:space="0" w:color="auto"/>
        <w:left w:val="none" w:sz="0" w:space="0" w:color="auto"/>
        <w:bottom w:val="none" w:sz="0" w:space="0" w:color="auto"/>
        <w:right w:val="none" w:sz="0" w:space="0" w:color="auto"/>
      </w:divBdr>
    </w:div>
    <w:div w:id="18354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1BA13D-7249-4C66-977C-766150BF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Ray Panko</cp:lastModifiedBy>
  <cp:revision>5</cp:revision>
  <dcterms:created xsi:type="dcterms:W3CDTF">2012-11-12T07:12:00Z</dcterms:created>
  <dcterms:modified xsi:type="dcterms:W3CDTF">2013-11-04T07:48:00Z</dcterms:modified>
</cp:coreProperties>
</file>